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9995A">
      <w:pPr>
        <w:spacing w:line="360" w:lineRule="exact"/>
        <w:jc w:val="center"/>
        <w:rPr>
          <w:rFonts w:hint="eastAsia" w:ascii="宋体" w:hAnsi="宋体" w:eastAsia="宋体"/>
          <w:b/>
          <w:sz w:val="28"/>
          <w:szCs w:val="28"/>
        </w:rPr>
      </w:pPr>
      <w:r>
        <w:rPr>
          <w:rFonts w:hint="eastAsia" w:ascii="宋体" w:hAnsi="宋体" w:eastAsia="宋体"/>
          <w:b/>
          <w:sz w:val="28"/>
          <w:szCs w:val="28"/>
          <w:lang w:eastAsia="zh-CN"/>
        </w:rPr>
        <w:t>松原市2024年国道五通公路牧羊场桥和</w:t>
      </w:r>
      <w:r>
        <w:rPr>
          <w:rFonts w:hint="eastAsia" w:ascii="宋体" w:hAnsi="宋体" w:eastAsia="宋体"/>
          <w:b/>
          <w:sz w:val="28"/>
          <w:szCs w:val="28"/>
          <w:lang w:val="en-US" w:eastAsia="zh-CN"/>
        </w:rPr>
        <w:t>国道龙东公路五号桥改造工程</w:t>
      </w:r>
      <w:r>
        <w:rPr>
          <w:rFonts w:hint="eastAsia" w:ascii="宋体" w:hAnsi="宋体" w:eastAsia="宋体"/>
          <w:b/>
          <w:sz w:val="28"/>
          <w:szCs w:val="28"/>
        </w:rPr>
        <w:t>施工</w:t>
      </w:r>
    </w:p>
    <w:p w14:paraId="2941CA4A">
      <w:pPr>
        <w:spacing w:line="360" w:lineRule="exact"/>
        <w:jc w:val="center"/>
        <w:rPr>
          <w:rFonts w:hint="eastAsia" w:ascii="宋体" w:hAnsi="宋体" w:eastAsia="宋体"/>
          <w:b/>
          <w:sz w:val="28"/>
          <w:szCs w:val="28"/>
        </w:rPr>
      </w:pPr>
      <w:r>
        <w:rPr>
          <w:rFonts w:hint="eastAsia" w:ascii="宋体" w:hAnsi="宋体" w:eastAsia="宋体"/>
          <w:b/>
          <w:sz w:val="28"/>
          <w:szCs w:val="28"/>
        </w:rPr>
        <w:t>招标文件公开内容</w:t>
      </w:r>
    </w:p>
    <w:p w14:paraId="5BFA3234">
      <w:pPr>
        <w:keepLines w:val="0"/>
        <w:tabs>
          <w:tab w:val="center" w:pos="4819"/>
        </w:tabs>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一、项目概况与招标范围</w:t>
      </w:r>
      <w:r>
        <w:rPr>
          <w:rFonts w:hint="eastAsia" w:ascii="宋体" w:hAnsi="宋体" w:eastAsia="宋体" w:cs="宋体"/>
          <w:b/>
          <w:sz w:val="21"/>
          <w:szCs w:val="21"/>
        </w:rPr>
        <w:tab/>
      </w:r>
    </w:p>
    <w:p w14:paraId="2864CD02">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详见招标公告</w:t>
      </w:r>
    </w:p>
    <w:p w14:paraId="3E199095">
      <w:pPr>
        <w:keepLines w:val="0"/>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二、投标人资格要求</w:t>
      </w:r>
    </w:p>
    <w:p w14:paraId="75CC6936">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投标人须知前附表（投标人资格要求部分）</w:t>
      </w:r>
    </w:p>
    <w:tbl>
      <w:tblPr>
        <w:tblStyle w:val="9"/>
        <w:tblW w:w="9475" w:type="dxa"/>
        <w:jc w:val="center"/>
        <w:tblLayout w:type="fixed"/>
        <w:tblCellMar>
          <w:top w:w="0" w:type="dxa"/>
          <w:left w:w="28" w:type="dxa"/>
          <w:bottom w:w="0" w:type="dxa"/>
          <w:right w:w="28" w:type="dxa"/>
        </w:tblCellMar>
      </w:tblPr>
      <w:tblGrid>
        <w:gridCol w:w="953"/>
        <w:gridCol w:w="2006"/>
        <w:gridCol w:w="6516"/>
      </w:tblGrid>
      <w:tr w14:paraId="50334ED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3DED2897">
            <w:pPr>
              <w:keepLines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条款号</w:t>
            </w:r>
          </w:p>
        </w:tc>
        <w:tc>
          <w:tcPr>
            <w:tcW w:w="2006" w:type="dxa"/>
            <w:tcBorders>
              <w:top w:val="single" w:color="000000" w:sz="4" w:space="0"/>
              <w:left w:val="single" w:color="000000" w:sz="4" w:space="0"/>
              <w:bottom w:val="single" w:color="000000" w:sz="4" w:space="0"/>
              <w:right w:val="single" w:color="000000" w:sz="4" w:space="0"/>
            </w:tcBorders>
            <w:vAlign w:val="center"/>
          </w:tcPr>
          <w:p w14:paraId="4E3AF8F4">
            <w:pPr>
              <w:keepLines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条款名称</w:t>
            </w:r>
          </w:p>
        </w:tc>
        <w:tc>
          <w:tcPr>
            <w:tcW w:w="6516" w:type="dxa"/>
            <w:tcBorders>
              <w:top w:val="single" w:color="000000" w:sz="4" w:space="0"/>
              <w:left w:val="single" w:color="000000" w:sz="4" w:space="0"/>
              <w:bottom w:val="single" w:color="000000" w:sz="4" w:space="0"/>
              <w:right w:val="single" w:color="auto" w:sz="12" w:space="0"/>
            </w:tcBorders>
            <w:vAlign w:val="center"/>
          </w:tcPr>
          <w:p w14:paraId="476D8926">
            <w:pPr>
              <w:keepLines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编列内容</w:t>
            </w:r>
          </w:p>
        </w:tc>
      </w:tr>
      <w:tr w14:paraId="2CA833F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5B649EB7">
            <w:pPr>
              <w:keepLines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14:paraId="694E00B1">
            <w:pPr>
              <w:keepLines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投标人资质条件、</w:t>
            </w:r>
          </w:p>
          <w:p w14:paraId="630631F4">
            <w:pPr>
              <w:keepLines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14:paraId="08C18BA8">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资质条件：见附录1</w:t>
            </w:r>
          </w:p>
          <w:p w14:paraId="04176462">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财务要求：见附录2</w:t>
            </w:r>
          </w:p>
          <w:p w14:paraId="1072A77F">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业绩要求：见附录3</w:t>
            </w:r>
          </w:p>
          <w:p w14:paraId="199066D7">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信誉要求：见附录4</w:t>
            </w:r>
          </w:p>
          <w:p w14:paraId="53C60651">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项目经理经历和项目总工资格：见附录5</w:t>
            </w:r>
          </w:p>
          <w:p w14:paraId="28E32251">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其他要求：无</w:t>
            </w:r>
          </w:p>
        </w:tc>
      </w:tr>
      <w:tr w14:paraId="62D62B33">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BDEBA49">
            <w:pPr>
              <w:keepLines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14:paraId="3A9D72C3">
            <w:pPr>
              <w:keepLines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14:paraId="57BC4DED">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不接受</w:t>
            </w:r>
          </w:p>
          <w:p w14:paraId="62514523">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接受，应满足下列要求：见第一章招标公告</w:t>
            </w:r>
          </w:p>
        </w:tc>
      </w:tr>
      <w:tr w14:paraId="29727569">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D443B6A">
            <w:pPr>
              <w:keepLines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1.4.3</w:t>
            </w:r>
          </w:p>
        </w:tc>
        <w:tc>
          <w:tcPr>
            <w:tcW w:w="2006" w:type="dxa"/>
            <w:tcBorders>
              <w:top w:val="single" w:color="000000" w:sz="4" w:space="0"/>
              <w:left w:val="single" w:color="000000" w:sz="4" w:space="0"/>
              <w:bottom w:val="single" w:color="000000" w:sz="4" w:space="0"/>
              <w:right w:val="single" w:color="000000" w:sz="4" w:space="0"/>
            </w:tcBorders>
            <w:vAlign w:val="center"/>
          </w:tcPr>
          <w:p w14:paraId="41D0BEBD">
            <w:pPr>
              <w:pStyle w:val="13"/>
              <w:keepNext/>
              <w:keepLines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投标人不得存在的</w:t>
            </w:r>
          </w:p>
          <w:p w14:paraId="456BDFD6">
            <w:pPr>
              <w:keepLines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14:paraId="5676DFBF">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3EB1FBD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270EFA83">
            <w:pPr>
              <w:keepLines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1.4.4</w:t>
            </w:r>
          </w:p>
        </w:tc>
        <w:tc>
          <w:tcPr>
            <w:tcW w:w="2006" w:type="dxa"/>
            <w:tcBorders>
              <w:top w:val="single" w:color="000000" w:sz="4" w:space="0"/>
              <w:left w:val="single" w:color="000000" w:sz="4" w:space="0"/>
              <w:bottom w:val="single" w:color="000000" w:sz="4" w:space="0"/>
              <w:right w:val="single" w:color="000000" w:sz="4" w:space="0"/>
            </w:tcBorders>
            <w:vAlign w:val="center"/>
          </w:tcPr>
          <w:p w14:paraId="7D3D56EE">
            <w:pPr>
              <w:pStyle w:val="13"/>
              <w:keepNext/>
              <w:keepLines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投标人不得存在的</w:t>
            </w:r>
          </w:p>
          <w:p w14:paraId="06247649">
            <w:pPr>
              <w:pStyle w:val="13"/>
              <w:keepNext/>
              <w:keepLines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lang w:val="en-US" w:bidi="ar-SA"/>
              </w:rPr>
              <w:t>其他不良状况或不良信用记录</w:t>
            </w:r>
          </w:p>
        </w:tc>
        <w:tc>
          <w:tcPr>
            <w:tcW w:w="6516" w:type="dxa"/>
            <w:tcBorders>
              <w:top w:val="single" w:color="000000" w:sz="4" w:space="0"/>
              <w:left w:val="single" w:color="000000" w:sz="4" w:space="0"/>
              <w:bottom w:val="single" w:color="000000" w:sz="4" w:space="0"/>
              <w:right w:val="single" w:color="auto" w:sz="12" w:space="0"/>
            </w:tcBorders>
            <w:vAlign w:val="center"/>
          </w:tcPr>
          <w:p w14:paraId="3CA5C637">
            <w:pPr>
              <w:keepLines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bl>
    <w:p w14:paraId="4D17CC29">
      <w:pPr>
        <w:keepLines w:val="0"/>
        <w:kinsoku/>
        <w:wordWrap/>
        <w:overflowPunct/>
        <w:topLinePunct w:val="0"/>
        <w:bidi w:val="0"/>
        <w:spacing w:line="360" w:lineRule="exact"/>
        <w:textAlignment w:val="auto"/>
        <w:rPr>
          <w:rFonts w:hint="eastAsia" w:ascii="宋体" w:hAnsi="宋体" w:eastAsia="宋体" w:cs="宋体"/>
          <w:b/>
          <w:bCs/>
          <w:sz w:val="21"/>
          <w:szCs w:val="21"/>
        </w:rPr>
      </w:pPr>
      <w:bookmarkStart w:id="0" w:name="_Toc110596237"/>
      <w:bookmarkStart w:id="1" w:name="_Toc346800722"/>
      <w:r>
        <w:rPr>
          <w:rFonts w:hint="eastAsia" w:ascii="宋体" w:hAnsi="宋体" w:eastAsia="宋体" w:cs="宋体"/>
          <w:b/>
          <w:bCs/>
          <w:sz w:val="21"/>
          <w:szCs w:val="21"/>
        </w:rPr>
        <w:t>1.4投标人资格要求（适用于未进行资格预审的）</w:t>
      </w:r>
    </w:p>
    <w:p w14:paraId="2500254D">
      <w:pPr>
        <w:keepLines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bookmarkStart w:id="2" w:name="_Hlk141167126"/>
      <w:r>
        <w:rPr>
          <w:rFonts w:hint="eastAsia" w:ascii="宋体" w:hAnsi="宋体" w:eastAsia="宋体" w:cs="宋体"/>
          <w:sz w:val="21"/>
          <w:szCs w:val="21"/>
        </w:rPr>
        <w:t>1.4.1投标人应具备承担本标段施工的资质条件、能力和信誉。</w:t>
      </w:r>
    </w:p>
    <w:p w14:paraId="11A3BDBD">
      <w:pPr>
        <w:keepLines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资质条件：见投标人须知前附表；</w:t>
      </w:r>
    </w:p>
    <w:p w14:paraId="51B2A911">
      <w:pPr>
        <w:keepLines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财务要求：见投标人须知前附表；</w:t>
      </w:r>
    </w:p>
    <w:p w14:paraId="4E0CCDDD">
      <w:pPr>
        <w:keepLines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业绩要求：见投标人须知前附表；</w:t>
      </w:r>
    </w:p>
    <w:p w14:paraId="5C426536">
      <w:pPr>
        <w:keepLines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信誉要求：见投标人须知前附表；</w:t>
      </w:r>
    </w:p>
    <w:p w14:paraId="7A319EDB">
      <w:pPr>
        <w:keepLines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项目经理和项目总工资格：见投标人须知前附表；</w:t>
      </w:r>
    </w:p>
    <w:p w14:paraId="5CA83A62">
      <w:pPr>
        <w:keepLines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其他要求：见投标人须知前附表。</w:t>
      </w:r>
    </w:p>
    <w:p w14:paraId="3CD4A123">
      <w:pPr>
        <w:keepLines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需要提交的相关证明材料见本章第3.5款的规定。</w:t>
      </w:r>
    </w:p>
    <w:p w14:paraId="443685E5">
      <w:pPr>
        <w:keepLines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1.4.2投标人须知前附表规定接受联合体投标的，联合体除应符合本章第1.4.1项和投标人须知前附表的要求外，还应遵守以下规定：</w:t>
      </w:r>
    </w:p>
    <w:p w14:paraId="7ABB7549">
      <w:pPr>
        <w:keepLines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联合体各方应按招标文件提供的格式签订联合体协议书，明确联合体牵头人和各方权利义务，并承诺就中标项目向招标人承担连带责任；</w:t>
      </w:r>
    </w:p>
    <w:p w14:paraId="048F5C39">
      <w:pPr>
        <w:keepLines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由同一专业的单位组成的联合体，按照资质等级较低的单位确定资质等级；</w:t>
      </w:r>
    </w:p>
    <w:p w14:paraId="0AD19D00">
      <w:pPr>
        <w:keepLines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联合体各方不得再以自已名义单独或参加其他联合体在同一标段中投标；</w:t>
      </w:r>
    </w:p>
    <w:p w14:paraId="2680B582">
      <w:pPr>
        <w:keepLines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2C01205">
      <w:pPr>
        <w:keepLines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尽管委任了联合体牵头人，但联合体各成员在投标、签订合同与履行合同过程中，仍负有连带的和各自的法律责任。</w:t>
      </w:r>
    </w:p>
    <w:p w14:paraId="0D8022D6">
      <w:pPr>
        <w:keepLines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1.4.3投标人（包括联合体各成员）不得与本标段相关单位存在下列关联关系：</w:t>
      </w:r>
    </w:p>
    <w:p w14:paraId="07C51721">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为招标人不具有独立法人资格的附属机构（单位）；</w:t>
      </w:r>
    </w:p>
    <w:p w14:paraId="2F1506FC">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与招标人存在利害关系且可能影响招标公正性；</w:t>
      </w:r>
    </w:p>
    <w:p w14:paraId="54B9BBA6">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与本标段的其他投标人同为一个单位负责人；</w:t>
      </w:r>
    </w:p>
    <w:p w14:paraId="7460C1CB">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与本标段的其他投标人存在控股、管理关系；</w:t>
      </w:r>
    </w:p>
    <w:p w14:paraId="3EF77791">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为本标段前期准备提供设计或咨询服务的法人或其任何附属机构（单位）；</w:t>
      </w:r>
    </w:p>
    <w:p w14:paraId="36B2C207">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为本标段的监理人；</w:t>
      </w:r>
    </w:p>
    <w:p w14:paraId="02CA63E8">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为本标段的代建人；</w:t>
      </w:r>
    </w:p>
    <w:p w14:paraId="29677B32">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为本标段的招标代理机构；</w:t>
      </w:r>
    </w:p>
    <w:p w14:paraId="01EE04B0">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与本标段的监理人或代建人或招标代理机构同为一个法定代表人；</w:t>
      </w:r>
    </w:p>
    <w:p w14:paraId="23367E0D">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与本标段的监理人或代建人或招标代理机构存在控股或参股关系；</w:t>
      </w:r>
    </w:p>
    <w:p w14:paraId="7C8E6F58">
      <w:pPr>
        <w:keepLines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法律法规或投标人须知前附表规定的其他情形。</w:t>
      </w:r>
    </w:p>
    <w:p w14:paraId="7F5283C4">
      <w:pPr>
        <w:keepLines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1.4.4投标人（包括联合体各成员）不得存在下列不良状况或不良信用记录：</w:t>
      </w:r>
    </w:p>
    <w:p w14:paraId="1B95FFB3">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被省级及以上交通运输主管部门取消招标项目所在地的投标资格且处于有效期内；</w:t>
      </w:r>
    </w:p>
    <w:p w14:paraId="647F357D">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被责令停业，暂扣或吊销执照，或吊销资质证书；</w:t>
      </w:r>
    </w:p>
    <w:p w14:paraId="7F33F6D7">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进入清算程序，或被宣告破产，或其他丧失履约能力的情形；</w:t>
      </w:r>
    </w:p>
    <w:p w14:paraId="07918EAB">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在国家企业信用信息公示系统（http://www.gsxt.gov.cn/）中被列入严重违法失信企业名单；</w:t>
      </w:r>
    </w:p>
    <w:p w14:paraId="761AF3A2">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在“信用中国”网站（http://www.creditchina.gov.cn/）中被列入失信被执行人名单；</w:t>
      </w:r>
    </w:p>
    <w:p w14:paraId="030192EE">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投标人或其法定代表人、拟委任的项目经理在近三年内有行贿犯罪行为的（行贿犯罪行为的认定以检察机关职务犯罪预防部门出具的查询结果为准）；</w:t>
      </w:r>
    </w:p>
    <w:p w14:paraId="6E6E5859">
      <w:pPr>
        <w:keepLines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法律法规或投标人须知前附表规定的其他情形。</w:t>
      </w:r>
    </w:p>
    <w:p w14:paraId="5ECFC0D2">
      <w:pPr>
        <w:keepLines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1.4.5投标人（包括联合体各成员）应进入交通运输部“全国公路建设市场信用信息管理系统（http: //glxy.mot.gov.cn）”中的公路工程施工资质企业名录，且投标人名称和资质与该名录中的相应企业名称和资质完全一致。投标人不满足本项规定条件的，将被否决投标。</w:t>
      </w:r>
      <w:r>
        <w:rPr>
          <w:rStyle w:val="11"/>
          <w:rFonts w:hint="eastAsia" w:ascii="宋体" w:hAnsi="宋体" w:eastAsia="宋体" w:cs="宋体"/>
          <w:sz w:val="21"/>
          <w:szCs w:val="21"/>
        </w:rPr>
        <w:footnoteReference w:id="0"/>
      </w:r>
    </w:p>
    <w:bookmarkEnd w:id="0"/>
    <w:bookmarkEnd w:id="1"/>
    <w:bookmarkEnd w:id="2"/>
    <w:p w14:paraId="0CA13484">
      <w:pPr>
        <w:keepLines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3" w:name="_Toc31729"/>
      <w:bookmarkStart w:id="4" w:name="_Toc520285006"/>
      <w:bookmarkStart w:id="5" w:name="_Toc80536764"/>
      <w:bookmarkStart w:id="6" w:name="_Toc505091277"/>
      <w:r>
        <w:rPr>
          <w:rFonts w:hint="eastAsia" w:ascii="宋体" w:hAnsi="宋体" w:eastAsia="宋体" w:cs="宋体"/>
          <w:b/>
          <w:color w:val="auto"/>
          <w:sz w:val="21"/>
          <w:szCs w:val="21"/>
          <w:highlight w:val="none"/>
        </w:rPr>
        <w:t>附录1 资格审查条件（资质最低要求）</w:t>
      </w:r>
      <w:bookmarkEnd w:id="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2"/>
      </w:tblGrid>
      <w:tr w14:paraId="66D6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tcBorders>
              <w:top w:val="single" w:color="auto" w:sz="12" w:space="0"/>
              <w:left w:val="single" w:color="auto" w:sz="12" w:space="0"/>
            </w:tcBorders>
            <w:vAlign w:val="center"/>
          </w:tcPr>
          <w:p w14:paraId="0F9FE9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382" w:type="dxa"/>
            <w:tcBorders>
              <w:top w:val="single" w:color="auto" w:sz="12" w:space="0"/>
              <w:right w:val="single" w:color="auto" w:sz="12" w:space="0"/>
            </w:tcBorders>
            <w:vAlign w:val="center"/>
          </w:tcPr>
          <w:p w14:paraId="66515D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施工企业资质等级要求</w:t>
            </w:r>
          </w:p>
        </w:tc>
      </w:tr>
      <w:tr w14:paraId="5579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34" w:type="dxa"/>
            <w:tcBorders>
              <w:left w:val="single" w:color="auto" w:sz="12" w:space="0"/>
              <w:bottom w:val="single" w:color="auto" w:sz="12" w:space="0"/>
            </w:tcBorders>
            <w:shd w:val="clear" w:color="auto" w:fill="auto"/>
            <w:vAlign w:val="center"/>
          </w:tcPr>
          <w:p w14:paraId="35AFB8A4">
            <w:pPr>
              <w:pStyle w:val="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SY25QL01</w:t>
            </w:r>
          </w:p>
        </w:tc>
        <w:tc>
          <w:tcPr>
            <w:tcW w:w="8382" w:type="dxa"/>
            <w:tcBorders>
              <w:bottom w:val="single" w:color="auto" w:sz="12" w:space="0"/>
              <w:right w:val="single" w:color="auto" w:sz="12" w:space="0"/>
            </w:tcBorders>
            <w:shd w:val="clear" w:color="auto" w:fill="auto"/>
            <w:vAlign w:val="center"/>
          </w:tcPr>
          <w:p w14:paraId="3FB8C1A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（1）交通运输主管部门</w:t>
            </w:r>
            <w:r>
              <w:rPr>
                <w:rFonts w:hint="eastAsia" w:ascii="宋体" w:hAnsi="宋体" w:eastAsia="宋体" w:cs="宋体"/>
                <w:color w:val="auto"/>
                <w:sz w:val="21"/>
                <w:szCs w:val="21"/>
                <w:highlight w:val="none"/>
                <w:lang w:val="en-US" w:eastAsia="zh-CN"/>
              </w:rPr>
              <w:t>核发</w:t>
            </w:r>
            <w:r>
              <w:rPr>
                <w:rFonts w:hint="eastAsia" w:ascii="宋体" w:hAnsi="宋体" w:eastAsia="宋体" w:cs="宋体"/>
                <w:color w:val="auto"/>
                <w:sz w:val="21"/>
                <w:szCs w:val="21"/>
                <w:highlight w:val="none"/>
              </w:rPr>
              <w:t>的路基路面养护甲级</w:t>
            </w:r>
            <w:r>
              <w:rPr>
                <w:rFonts w:hint="eastAsia" w:ascii="宋体" w:hAnsi="宋体" w:eastAsia="宋体" w:cs="宋体"/>
                <w:color w:val="auto"/>
                <w:sz w:val="21"/>
                <w:szCs w:val="21"/>
                <w:highlight w:val="none"/>
                <w:lang w:val="en-US" w:eastAsia="zh-CN"/>
              </w:rPr>
              <w:t>或乙级</w:t>
            </w:r>
            <w:r>
              <w:rPr>
                <w:rFonts w:hint="eastAsia" w:ascii="宋体" w:hAnsi="宋体" w:eastAsia="宋体" w:cs="宋体"/>
                <w:color w:val="auto"/>
                <w:sz w:val="21"/>
                <w:szCs w:val="21"/>
                <w:highlight w:val="none"/>
              </w:rPr>
              <w:t>资质；</w:t>
            </w:r>
          </w:p>
          <w:p w14:paraId="31F5E33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（2）交通运输主管部门</w:t>
            </w:r>
            <w:r>
              <w:rPr>
                <w:rFonts w:hint="eastAsia" w:ascii="宋体" w:hAnsi="宋体" w:eastAsia="宋体" w:cs="宋体"/>
                <w:color w:val="auto"/>
                <w:sz w:val="21"/>
                <w:szCs w:val="21"/>
                <w:highlight w:val="none"/>
                <w:lang w:val="en-US" w:eastAsia="zh-CN"/>
              </w:rPr>
              <w:t>核发</w:t>
            </w:r>
            <w:r>
              <w:rPr>
                <w:rFonts w:hint="eastAsia" w:ascii="宋体" w:hAnsi="宋体" w:eastAsia="宋体" w:cs="宋体"/>
                <w:color w:val="auto"/>
                <w:sz w:val="21"/>
                <w:szCs w:val="21"/>
                <w:highlight w:val="none"/>
              </w:rPr>
              <w:t>的桥梁养护甲级或乙级资质；</w:t>
            </w:r>
          </w:p>
          <w:p w14:paraId="6709A51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（3）交通运输主管部门</w:t>
            </w:r>
            <w:r>
              <w:rPr>
                <w:rFonts w:hint="eastAsia" w:ascii="宋体" w:hAnsi="宋体" w:eastAsia="宋体" w:cs="宋体"/>
                <w:color w:val="auto"/>
                <w:sz w:val="21"/>
                <w:szCs w:val="21"/>
                <w:highlight w:val="none"/>
                <w:lang w:val="en-US" w:eastAsia="zh-CN"/>
              </w:rPr>
              <w:t>核发</w:t>
            </w:r>
            <w:r>
              <w:rPr>
                <w:rFonts w:hint="eastAsia" w:ascii="宋体" w:hAnsi="宋体" w:eastAsia="宋体" w:cs="宋体"/>
                <w:color w:val="auto"/>
                <w:sz w:val="21"/>
                <w:szCs w:val="21"/>
                <w:highlight w:val="none"/>
              </w:rPr>
              <w:t>的交通安全设施养护资质（可以承担各等级公路交通安全设施的各类养护工程）或交通安全设施养护资质（可以承担二级及以下公路交通安全设施的各类养护工程）。</w:t>
            </w:r>
          </w:p>
        </w:tc>
      </w:tr>
    </w:tbl>
    <w:p w14:paraId="50AA2E30">
      <w:pPr>
        <w:keepLines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7" w:name="_Toc5826"/>
      <w:r>
        <w:rPr>
          <w:rFonts w:hint="eastAsia" w:ascii="宋体" w:hAnsi="宋体" w:eastAsia="宋体" w:cs="宋体"/>
          <w:b/>
          <w:color w:val="auto"/>
          <w:sz w:val="21"/>
          <w:szCs w:val="21"/>
          <w:highlight w:val="none"/>
        </w:rPr>
        <w:t>附录2 资格审查条件（财务最低要求）</w:t>
      </w:r>
      <w:bookmarkEnd w:id="7"/>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3B75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6" w:type="dxa"/>
            <w:tcBorders>
              <w:top w:val="single" w:color="auto" w:sz="12" w:space="0"/>
              <w:left w:val="single" w:color="auto" w:sz="12" w:space="0"/>
              <w:bottom w:val="single" w:color="auto" w:sz="4" w:space="0"/>
              <w:right w:val="single" w:color="auto" w:sz="12" w:space="0"/>
            </w:tcBorders>
            <w:vAlign w:val="center"/>
          </w:tcPr>
          <w:p w14:paraId="421F7B81">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r>
      <w:tr w14:paraId="5E82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9516" w:type="dxa"/>
            <w:tcBorders>
              <w:top w:val="single" w:color="auto" w:sz="4" w:space="0"/>
              <w:left w:val="single" w:color="auto" w:sz="12" w:space="0"/>
              <w:bottom w:val="single" w:color="auto" w:sz="12" w:space="0"/>
              <w:right w:val="single" w:color="auto" w:sz="12" w:space="0"/>
            </w:tcBorders>
            <w:vAlign w:val="center"/>
          </w:tcPr>
          <w:p w14:paraId="37133A0C">
            <w:pPr>
              <w:keepLines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具有健全的财务会计制度。</w:t>
            </w:r>
          </w:p>
        </w:tc>
      </w:tr>
    </w:tbl>
    <w:p w14:paraId="2422A01F">
      <w:pPr>
        <w:keepLines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8" w:name="_Toc8770"/>
      <w:r>
        <w:rPr>
          <w:rFonts w:hint="eastAsia" w:ascii="宋体" w:hAnsi="宋体" w:eastAsia="宋体" w:cs="宋体"/>
          <w:b/>
          <w:color w:val="auto"/>
          <w:sz w:val="21"/>
          <w:szCs w:val="21"/>
          <w:highlight w:val="none"/>
        </w:rPr>
        <w:t>附录3 资格审查条件（业绩最低要求）</w:t>
      </w:r>
      <w:bookmarkEnd w:id="8"/>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363"/>
      </w:tblGrid>
      <w:tr w14:paraId="748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58" w:type="dxa"/>
            <w:tcBorders>
              <w:top w:val="single" w:color="auto" w:sz="12" w:space="0"/>
              <w:left w:val="single" w:color="auto" w:sz="12" w:space="0"/>
              <w:right w:val="single" w:color="auto" w:sz="4" w:space="0"/>
            </w:tcBorders>
            <w:vAlign w:val="center"/>
          </w:tcPr>
          <w:p w14:paraId="4BA9F469">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363" w:type="dxa"/>
            <w:tcBorders>
              <w:top w:val="single" w:color="auto" w:sz="12" w:space="0"/>
              <w:left w:val="single" w:color="auto" w:sz="4" w:space="0"/>
              <w:right w:val="single" w:color="auto" w:sz="12" w:space="0"/>
            </w:tcBorders>
            <w:vAlign w:val="center"/>
          </w:tcPr>
          <w:p w14:paraId="5FB9CB7A">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14:paraId="115D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8" w:type="dxa"/>
            <w:tcBorders>
              <w:left w:val="single" w:color="auto" w:sz="12" w:space="0"/>
              <w:bottom w:val="single" w:color="auto" w:sz="12" w:space="0"/>
              <w:right w:val="single" w:color="auto" w:sz="4" w:space="0"/>
            </w:tcBorders>
            <w:vAlign w:val="center"/>
          </w:tcPr>
          <w:p w14:paraId="13A85779">
            <w:pPr>
              <w:pStyle w:val="5"/>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SY25QL01</w:t>
            </w:r>
          </w:p>
        </w:tc>
        <w:tc>
          <w:tcPr>
            <w:tcW w:w="8363" w:type="dxa"/>
            <w:tcBorders>
              <w:left w:val="single" w:color="auto" w:sz="4" w:space="0"/>
              <w:bottom w:val="single" w:color="auto" w:sz="12" w:space="0"/>
              <w:right w:val="single" w:color="auto" w:sz="12" w:space="0"/>
            </w:tcBorders>
            <w:vAlign w:val="center"/>
          </w:tcPr>
          <w:p w14:paraId="011F3859">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bl>
    <w:p w14:paraId="2E79D091">
      <w:pPr>
        <w:keepLines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9" w:name="_Toc14620"/>
      <w:r>
        <w:rPr>
          <w:rFonts w:hint="eastAsia" w:ascii="宋体" w:hAnsi="宋体" w:eastAsia="宋体" w:cs="宋体"/>
          <w:b/>
          <w:color w:val="auto"/>
          <w:sz w:val="21"/>
          <w:szCs w:val="21"/>
          <w:highlight w:val="none"/>
        </w:rPr>
        <w:t>附录4 资格审查条件（信誉最低要求）</w:t>
      </w:r>
      <w:bookmarkEnd w:id="9"/>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14:paraId="1988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1" w:type="dxa"/>
            <w:tcBorders>
              <w:top w:val="single" w:color="auto" w:sz="12" w:space="0"/>
              <w:left w:val="single" w:color="auto" w:sz="12" w:space="0"/>
              <w:right w:val="single" w:color="auto" w:sz="12" w:space="0"/>
            </w:tcBorders>
            <w:vAlign w:val="center"/>
          </w:tcPr>
          <w:p w14:paraId="3085664E">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r>
      <w:tr w14:paraId="4C3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21" w:type="dxa"/>
            <w:tcBorders>
              <w:left w:val="single" w:color="auto" w:sz="12" w:space="0"/>
              <w:bottom w:val="single" w:color="auto" w:sz="12" w:space="0"/>
              <w:right w:val="single" w:color="auto" w:sz="12" w:space="0"/>
            </w:tcBorders>
            <w:vAlign w:val="center"/>
          </w:tcPr>
          <w:p w14:paraId="06CFF1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投标人在《吉林省公路管理局202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年度普通干线公路养护工程施工企业信用评价结果》中的</w:t>
            </w:r>
            <w:r>
              <w:rPr>
                <w:rFonts w:hint="eastAsia" w:ascii="宋体" w:hAnsi="宋体" w:eastAsia="宋体" w:cs="宋体"/>
                <w:color w:val="auto"/>
                <w:sz w:val="21"/>
                <w:szCs w:val="21"/>
                <w:highlight w:val="none"/>
                <w:lang w:val="en-US" w:eastAsia="zh-CN"/>
              </w:rPr>
              <w:t>信用等级</w:t>
            </w:r>
            <w:r>
              <w:rPr>
                <w:rFonts w:hint="eastAsia" w:ascii="宋体" w:hAnsi="宋体" w:eastAsia="宋体" w:cs="宋体"/>
                <w:color w:val="auto"/>
                <w:sz w:val="21"/>
                <w:szCs w:val="21"/>
                <w:highlight w:val="none"/>
              </w:rPr>
              <w:t>不得为D级。</w:t>
            </w:r>
          </w:p>
        </w:tc>
      </w:tr>
    </w:tbl>
    <w:p w14:paraId="5C780492">
      <w:pPr>
        <w:keepLines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10" w:name="_Toc8429"/>
      <w:r>
        <w:rPr>
          <w:rFonts w:hint="eastAsia" w:ascii="宋体" w:hAnsi="宋体" w:eastAsia="宋体" w:cs="宋体"/>
          <w:b/>
          <w:color w:val="auto"/>
          <w:sz w:val="21"/>
          <w:szCs w:val="21"/>
          <w:highlight w:val="none"/>
        </w:rPr>
        <w:t>附录5 资格审查条件（项目经理和项目总工最低要求）</w:t>
      </w:r>
      <w:bookmarkEnd w:id="10"/>
    </w:p>
    <w:tbl>
      <w:tblPr>
        <w:tblStyle w:val="9"/>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69"/>
        <w:gridCol w:w="5921"/>
        <w:gridCol w:w="1381"/>
      </w:tblGrid>
      <w:tr w14:paraId="2189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8" w:type="dxa"/>
            <w:tcBorders>
              <w:top w:val="single" w:color="auto" w:sz="12" w:space="0"/>
              <w:left w:val="single" w:color="auto" w:sz="12" w:space="0"/>
            </w:tcBorders>
            <w:vAlign w:val="center"/>
          </w:tcPr>
          <w:p w14:paraId="31D3CA8A">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bCs/>
                <w:color w:val="auto"/>
                <w:sz w:val="21"/>
                <w:szCs w:val="21"/>
                <w:highlight w:val="none"/>
                <w:vertAlign w:val="superscript"/>
              </w:rPr>
              <w:footnoteReference w:id="1"/>
            </w:r>
          </w:p>
        </w:tc>
        <w:tc>
          <w:tcPr>
            <w:tcW w:w="1069" w:type="dxa"/>
            <w:tcBorders>
              <w:top w:val="single" w:color="auto" w:sz="12" w:space="0"/>
              <w:right w:val="single" w:color="auto" w:sz="8" w:space="0"/>
            </w:tcBorders>
            <w:vAlign w:val="center"/>
          </w:tcPr>
          <w:p w14:paraId="1075EA9D">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921" w:type="dxa"/>
            <w:tcBorders>
              <w:top w:val="single" w:color="auto" w:sz="12" w:space="0"/>
              <w:left w:val="single" w:color="auto" w:sz="8" w:space="0"/>
              <w:right w:val="single" w:color="auto" w:sz="4" w:space="0"/>
            </w:tcBorders>
            <w:vAlign w:val="center"/>
          </w:tcPr>
          <w:p w14:paraId="27EAF22B">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1381" w:type="dxa"/>
            <w:tcBorders>
              <w:top w:val="single" w:color="auto" w:sz="12" w:space="0"/>
              <w:left w:val="single" w:color="auto" w:sz="4" w:space="0"/>
              <w:right w:val="single" w:color="auto" w:sz="12" w:space="0"/>
            </w:tcBorders>
            <w:vAlign w:val="center"/>
          </w:tcPr>
          <w:p w14:paraId="5414BADC">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14:paraId="6706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98" w:type="dxa"/>
            <w:tcBorders>
              <w:left w:val="single" w:color="auto" w:sz="12" w:space="0"/>
            </w:tcBorders>
            <w:vAlign w:val="center"/>
          </w:tcPr>
          <w:p w14:paraId="06887CF6">
            <w:pPr>
              <w:keepLines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069" w:type="dxa"/>
            <w:tcBorders>
              <w:right w:val="single" w:color="auto" w:sz="8" w:space="0"/>
            </w:tcBorders>
            <w:vAlign w:val="center"/>
          </w:tcPr>
          <w:p w14:paraId="5BAC1ADB">
            <w:pPr>
              <w:keepLines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p>
        </w:tc>
        <w:tc>
          <w:tcPr>
            <w:tcW w:w="5921" w:type="dxa"/>
            <w:tcBorders>
              <w:left w:val="single" w:color="auto" w:sz="8" w:space="0"/>
              <w:right w:val="single" w:color="auto" w:sz="4" w:space="0"/>
            </w:tcBorders>
            <w:vAlign w:val="center"/>
          </w:tcPr>
          <w:p w14:paraId="5929824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联合体投标的，指联合体牵头人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自有</w:t>
            </w:r>
            <w:r>
              <w:rPr>
                <w:rStyle w:val="11"/>
                <w:rFonts w:hint="eastAsia" w:ascii="宋体" w:hAnsi="宋体" w:eastAsia="宋体" w:cs="宋体"/>
                <w:bCs/>
                <w:color w:val="auto"/>
                <w:sz w:val="21"/>
                <w:szCs w:val="21"/>
                <w:highlight w:val="none"/>
              </w:rPr>
              <w:footnoteReference w:id="2"/>
            </w:r>
            <w:r>
              <w:rPr>
                <w:rFonts w:hint="eastAsia" w:ascii="宋体" w:hAnsi="宋体" w:eastAsia="宋体" w:cs="宋体"/>
                <w:bCs/>
                <w:color w:val="auto"/>
                <w:sz w:val="21"/>
                <w:szCs w:val="21"/>
                <w:highlight w:val="none"/>
              </w:rPr>
              <w:t>人员；</w:t>
            </w:r>
          </w:p>
          <w:p w14:paraId="78C844A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（2）具有公路工程相关专业</w:t>
            </w:r>
            <w:r>
              <w:rPr>
                <w:rStyle w:val="11"/>
                <w:rFonts w:hint="eastAsia" w:ascii="宋体" w:hAnsi="宋体" w:eastAsia="宋体" w:cs="宋体"/>
                <w:bCs/>
                <w:color w:val="auto"/>
                <w:sz w:val="21"/>
                <w:szCs w:val="21"/>
                <w:highlight w:val="none"/>
              </w:rPr>
              <w:footnoteReference w:id="3"/>
            </w:r>
            <w:r>
              <w:rPr>
                <w:rFonts w:hint="eastAsia" w:ascii="宋体" w:hAnsi="宋体" w:eastAsia="宋体" w:cs="宋体"/>
                <w:b/>
                <w:bCs/>
                <w:color w:val="auto"/>
                <w:sz w:val="21"/>
                <w:szCs w:val="21"/>
                <w:highlight w:val="none"/>
              </w:rPr>
              <w:t>工程师</w:t>
            </w:r>
            <w:r>
              <w:rPr>
                <w:rFonts w:hint="eastAsia" w:ascii="宋体" w:hAnsi="宋体" w:eastAsia="宋体" w:cs="宋体"/>
                <w:bCs/>
                <w:color w:val="auto"/>
                <w:sz w:val="21"/>
                <w:szCs w:val="21"/>
                <w:highlight w:val="none"/>
              </w:rPr>
              <w:t>职称；</w:t>
            </w:r>
          </w:p>
          <w:p w14:paraId="4B8DFAB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（3）具有建设行政主管部门</w:t>
            </w:r>
            <w:r>
              <w:rPr>
                <w:rFonts w:hint="eastAsia" w:ascii="宋体" w:hAnsi="宋体" w:eastAsia="宋体" w:cs="宋体"/>
                <w:color w:val="auto"/>
                <w:sz w:val="21"/>
                <w:szCs w:val="21"/>
                <w:highlight w:val="none"/>
              </w:rPr>
              <w:t>颁发</w:t>
            </w:r>
            <w:r>
              <w:rPr>
                <w:rFonts w:hint="eastAsia" w:ascii="宋体" w:hAnsi="宋体" w:eastAsia="宋体" w:cs="宋体"/>
                <w:bCs/>
                <w:color w:val="auto"/>
                <w:sz w:val="21"/>
                <w:szCs w:val="21"/>
                <w:highlight w:val="none"/>
              </w:rPr>
              <w:t>且已经在投标人单位注册的“公路工程”专业《</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级</w:t>
            </w:r>
            <w:r>
              <w:rPr>
                <w:rFonts w:hint="eastAsia" w:ascii="宋体" w:hAnsi="宋体" w:eastAsia="宋体" w:cs="宋体"/>
                <w:bCs/>
                <w:color w:val="auto"/>
                <w:sz w:val="21"/>
                <w:szCs w:val="21"/>
                <w:highlight w:val="none"/>
              </w:rPr>
              <w:t>建造师注册证书》；</w:t>
            </w:r>
          </w:p>
          <w:p w14:paraId="5C80452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（4）具有交通运输主管部门</w:t>
            </w:r>
            <w:r>
              <w:rPr>
                <w:rFonts w:hint="eastAsia" w:ascii="宋体" w:hAnsi="宋体" w:eastAsia="宋体" w:cs="宋体"/>
                <w:color w:val="auto"/>
                <w:sz w:val="21"/>
                <w:szCs w:val="21"/>
                <w:highlight w:val="none"/>
              </w:rPr>
              <w:t>颁发</w:t>
            </w:r>
            <w:r>
              <w:rPr>
                <w:rFonts w:hint="eastAsia" w:ascii="宋体" w:hAnsi="宋体" w:eastAsia="宋体" w:cs="宋体"/>
                <w:bCs/>
                <w:color w:val="auto"/>
                <w:sz w:val="21"/>
                <w:szCs w:val="21"/>
                <w:highlight w:val="none"/>
              </w:rPr>
              <w:t>的有效的</w:t>
            </w:r>
            <w:r>
              <w:rPr>
                <w:rFonts w:hint="eastAsia" w:ascii="宋体" w:hAnsi="宋体" w:eastAsia="宋体" w:cs="宋体"/>
                <w:b/>
                <w:bCs/>
                <w:color w:val="auto"/>
                <w:sz w:val="21"/>
                <w:szCs w:val="21"/>
                <w:highlight w:val="none"/>
              </w:rPr>
              <w:t>B类</w:t>
            </w:r>
            <w:r>
              <w:rPr>
                <w:rFonts w:hint="eastAsia" w:ascii="宋体" w:hAnsi="宋体" w:eastAsia="宋体" w:cs="宋体"/>
                <w:bCs/>
                <w:color w:val="auto"/>
                <w:sz w:val="21"/>
                <w:szCs w:val="21"/>
                <w:highlight w:val="none"/>
              </w:rPr>
              <w:t>安全生产</w:t>
            </w:r>
            <w:r>
              <w:rPr>
                <w:rFonts w:hint="eastAsia" w:ascii="宋体" w:hAnsi="宋体" w:eastAsia="宋体" w:cs="宋体"/>
                <w:bCs/>
                <w:color w:val="auto"/>
                <w:sz w:val="21"/>
                <w:szCs w:val="21"/>
                <w:highlight w:val="none"/>
                <w:lang w:val="en-US" w:eastAsia="zh-CN"/>
              </w:rPr>
              <w:t>考核合格</w:t>
            </w:r>
            <w:r>
              <w:rPr>
                <w:rFonts w:hint="eastAsia" w:ascii="宋体" w:hAnsi="宋体" w:eastAsia="宋体" w:cs="宋体"/>
                <w:bCs/>
                <w:color w:val="auto"/>
                <w:sz w:val="21"/>
                <w:szCs w:val="21"/>
                <w:highlight w:val="none"/>
              </w:rPr>
              <w:t>证书。</w:t>
            </w:r>
          </w:p>
        </w:tc>
        <w:tc>
          <w:tcPr>
            <w:tcW w:w="1381" w:type="dxa"/>
            <w:vMerge w:val="restart"/>
            <w:tcBorders>
              <w:left w:val="single" w:color="auto" w:sz="4" w:space="0"/>
              <w:right w:val="single" w:color="auto" w:sz="12" w:space="0"/>
            </w:tcBorders>
            <w:vAlign w:val="center"/>
          </w:tcPr>
          <w:p w14:paraId="739C2EC0">
            <w:pPr>
              <w:keepLines w:val="0"/>
              <w:widowControl/>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无在岗项目（指目前未在其他项目上任职，或虽在其他项目上任职但本项目中标后能从该项目撤离）</w:t>
            </w:r>
          </w:p>
        </w:tc>
      </w:tr>
      <w:tr w14:paraId="7C9D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98" w:type="dxa"/>
            <w:tcBorders>
              <w:left w:val="single" w:color="auto" w:sz="12" w:space="0"/>
              <w:bottom w:val="single" w:color="auto" w:sz="12" w:space="0"/>
            </w:tcBorders>
            <w:vAlign w:val="center"/>
          </w:tcPr>
          <w:p w14:paraId="4349E6C3">
            <w:pPr>
              <w:keepLines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项目总工</w:t>
            </w:r>
          </w:p>
        </w:tc>
        <w:tc>
          <w:tcPr>
            <w:tcW w:w="1069" w:type="dxa"/>
            <w:tcBorders>
              <w:bottom w:val="single" w:color="auto" w:sz="12" w:space="0"/>
            </w:tcBorders>
            <w:vAlign w:val="center"/>
          </w:tcPr>
          <w:p w14:paraId="5BF6E863">
            <w:pPr>
              <w:keepLines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p>
        </w:tc>
        <w:tc>
          <w:tcPr>
            <w:tcW w:w="5921" w:type="dxa"/>
            <w:tcBorders>
              <w:bottom w:val="single" w:color="auto" w:sz="12" w:space="0"/>
              <w:right w:val="single" w:color="auto" w:sz="4" w:space="0"/>
            </w:tcBorders>
            <w:vAlign w:val="center"/>
          </w:tcPr>
          <w:p w14:paraId="6BAD1C06">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联合体投标的，指联合体牵头人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自有</w:t>
            </w:r>
            <w:r>
              <w:rPr>
                <w:rFonts w:hint="eastAsia" w:ascii="宋体" w:hAnsi="宋体" w:eastAsia="宋体" w:cs="宋体"/>
                <w:bCs/>
                <w:color w:val="auto"/>
                <w:sz w:val="21"/>
                <w:szCs w:val="21"/>
                <w:highlight w:val="none"/>
              </w:rPr>
              <w:t>人员；</w:t>
            </w:r>
          </w:p>
          <w:p w14:paraId="41FA74F5">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（2）具有公路工程相关专业</w:t>
            </w:r>
            <w:r>
              <w:rPr>
                <w:rFonts w:hint="eastAsia" w:ascii="宋体" w:hAnsi="宋体" w:eastAsia="宋体" w:cs="宋体"/>
                <w:b/>
                <w:bCs w:val="0"/>
                <w:color w:val="auto"/>
                <w:sz w:val="21"/>
                <w:szCs w:val="21"/>
                <w:highlight w:val="none"/>
                <w:lang w:val="en-US" w:eastAsia="zh-CN"/>
              </w:rPr>
              <w:t>高级</w:t>
            </w:r>
            <w:r>
              <w:rPr>
                <w:rFonts w:hint="eastAsia" w:ascii="宋体" w:hAnsi="宋体" w:eastAsia="宋体" w:cs="宋体"/>
                <w:b/>
                <w:bCs/>
                <w:color w:val="auto"/>
                <w:sz w:val="21"/>
                <w:szCs w:val="21"/>
                <w:highlight w:val="none"/>
              </w:rPr>
              <w:t>工程师</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lang w:eastAsia="zh-CN"/>
              </w:rPr>
              <w:t>。</w:t>
            </w:r>
          </w:p>
        </w:tc>
        <w:tc>
          <w:tcPr>
            <w:tcW w:w="1381" w:type="dxa"/>
            <w:vMerge w:val="continue"/>
            <w:tcBorders>
              <w:left w:val="single" w:color="auto" w:sz="4" w:space="0"/>
              <w:bottom w:val="single" w:color="auto" w:sz="12" w:space="0"/>
              <w:right w:val="single" w:color="auto" w:sz="12" w:space="0"/>
            </w:tcBorders>
          </w:tcPr>
          <w:p w14:paraId="4A8708A2">
            <w:pPr>
              <w:keepLines w:val="0"/>
              <w:widowControl/>
              <w:kinsoku/>
              <w:wordWrap/>
              <w:overflowPunct/>
              <w:topLinePunct w:val="0"/>
              <w:bidi w:val="0"/>
              <w:spacing w:line="360" w:lineRule="exact"/>
              <w:jc w:val="left"/>
              <w:textAlignment w:val="auto"/>
              <w:rPr>
                <w:rFonts w:hint="eastAsia" w:ascii="宋体" w:hAnsi="宋体" w:eastAsia="宋体" w:cs="宋体"/>
                <w:bCs/>
                <w:color w:val="auto"/>
                <w:sz w:val="21"/>
                <w:szCs w:val="21"/>
                <w:highlight w:val="none"/>
              </w:rPr>
            </w:pPr>
          </w:p>
        </w:tc>
      </w:tr>
      <w:bookmarkEnd w:id="4"/>
      <w:bookmarkEnd w:id="5"/>
      <w:bookmarkEnd w:id="6"/>
    </w:tbl>
    <w:p w14:paraId="7517830E">
      <w:pPr>
        <w:keepNext w:val="0"/>
        <w:keepLines w:val="0"/>
        <w:pageBreakBefore/>
        <w:widowControl w:val="0"/>
        <w:kinsoku/>
        <w:wordWrap/>
        <w:overflowPunct/>
        <w:topLinePunct w:val="0"/>
        <w:autoSpaceDE/>
        <w:autoSpaceDN/>
        <w:bidi w:val="0"/>
        <w:adjustRightInd w:val="0"/>
        <w:snapToGrid w:val="0"/>
        <w:spacing w:beforeLines="100" w:afterLines="100" w:line="360" w:lineRule="exact"/>
        <w:jc w:val="center"/>
        <w:textAlignment w:val="auto"/>
        <w:outlineLvl w:val="1"/>
        <w:rPr>
          <w:rFonts w:hint="eastAsia" w:ascii="宋体" w:hAnsi="宋体" w:eastAsia="宋体" w:cs="宋体"/>
          <w:b/>
          <w:color w:val="auto"/>
          <w:sz w:val="21"/>
          <w:szCs w:val="21"/>
          <w:highlight w:val="none"/>
          <w:lang w:val="zh-CN"/>
        </w:rPr>
      </w:pPr>
      <w:bookmarkStart w:id="12" w:name="_GoBack"/>
      <w:bookmarkEnd w:id="12"/>
      <w:r>
        <w:rPr>
          <w:rFonts w:hint="eastAsia" w:ascii="宋体" w:hAnsi="宋体" w:eastAsia="宋体" w:cs="宋体"/>
          <w:b/>
          <w:color w:val="auto"/>
          <w:sz w:val="21"/>
          <w:szCs w:val="21"/>
          <w:highlight w:val="none"/>
        </w:rPr>
        <w:t>评标办法（技术评分最低标价法）</w:t>
      </w:r>
    </w:p>
    <w:p w14:paraId="53E135EE">
      <w:pPr>
        <w:keepLines w:val="0"/>
        <w:kinsoku/>
        <w:wordWrap/>
        <w:overflowPunct/>
        <w:topLinePunct w:val="0"/>
        <w:bidi w:val="0"/>
        <w:spacing w:line="360" w:lineRule="exact"/>
        <w:textAlignment w:val="auto"/>
        <w:outlineLvl w:val="1"/>
        <w:rPr>
          <w:rFonts w:hint="eastAsia" w:ascii="宋体" w:hAnsi="宋体" w:eastAsia="宋体" w:cs="宋体"/>
          <w:b/>
          <w:color w:val="auto"/>
          <w:sz w:val="21"/>
          <w:szCs w:val="21"/>
          <w:highlight w:val="none"/>
        </w:rPr>
      </w:pPr>
      <w:bookmarkStart w:id="11" w:name="_Toc27369"/>
      <w:r>
        <w:rPr>
          <w:rFonts w:hint="eastAsia" w:ascii="宋体" w:hAnsi="宋体" w:eastAsia="宋体" w:cs="宋体"/>
          <w:b/>
          <w:color w:val="auto"/>
          <w:sz w:val="21"/>
          <w:szCs w:val="21"/>
          <w:highlight w:val="none"/>
        </w:rPr>
        <w:t>评标办法前附表</w:t>
      </w:r>
      <w:bookmarkEnd w:id="11"/>
    </w:p>
    <w:tbl>
      <w:tblPr>
        <w:tblStyle w:val="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636"/>
        <w:gridCol w:w="7002"/>
      </w:tblGrid>
      <w:tr w14:paraId="75E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2535" w:type="dxa"/>
            <w:gridSpan w:val="2"/>
            <w:tcBorders>
              <w:top w:val="single" w:color="auto" w:sz="12" w:space="0"/>
              <w:left w:val="single" w:color="auto" w:sz="12" w:space="0"/>
            </w:tcBorders>
            <w:vAlign w:val="center"/>
          </w:tcPr>
          <w:p w14:paraId="61E07BD1">
            <w:pPr>
              <w:keepLines w:val="0"/>
              <w:kinsoku/>
              <w:wordWrap/>
              <w:overflowPunct/>
              <w:topLinePunct w:val="0"/>
              <w:bidi w:val="0"/>
              <w:spacing w:line="360" w:lineRule="exact"/>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条款号</w:t>
            </w:r>
          </w:p>
        </w:tc>
        <w:tc>
          <w:tcPr>
            <w:tcW w:w="7002" w:type="dxa"/>
            <w:tcBorders>
              <w:top w:val="single" w:color="auto" w:sz="12" w:space="0"/>
              <w:right w:val="single" w:color="auto" w:sz="12" w:space="0"/>
            </w:tcBorders>
            <w:vAlign w:val="center"/>
          </w:tcPr>
          <w:p w14:paraId="2A069C3D">
            <w:pPr>
              <w:keepLines w:val="0"/>
              <w:kinsoku/>
              <w:wordWrap/>
              <w:overflowPunct/>
              <w:topLinePunct w:val="0"/>
              <w:bidi w:val="0"/>
              <w:spacing w:line="360" w:lineRule="exact"/>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评审因素与标准</w:t>
            </w:r>
          </w:p>
        </w:tc>
      </w:tr>
      <w:tr w14:paraId="6623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1693E2FB">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636" w:type="dxa"/>
            <w:vAlign w:val="center"/>
          </w:tcPr>
          <w:p w14:paraId="15D8F595">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评标办法</w:t>
            </w:r>
          </w:p>
        </w:tc>
        <w:tc>
          <w:tcPr>
            <w:tcW w:w="7002" w:type="dxa"/>
            <w:tcBorders>
              <w:right w:val="single" w:color="auto" w:sz="12" w:space="0"/>
            </w:tcBorders>
            <w:vAlign w:val="center"/>
          </w:tcPr>
          <w:p w14:paraId="2646D5BB">
            <w:pPr>
              <w:pStyle w:val="23"/>
              <w:keepLines w:val="0"/>
              <w:shd w:val="clear" w:color="auto" w:fill="auto"/>
              <w:tabs>
                <w:tab w:val="left" w:pos="1055"/>
              </w:tabs>
              <w:kinsoku/>
              <w:wordWrap/>
              <w:overflowPunct/>
              <w:topLinePunct w:val="0"/>
              <w:bidi w:val="0"/>
              <w:spacing w:before="0" w:after="0" w:line="360" w:lineRule="exact"/>
              <w:ind w:firstLine="315" w:firstLineChars="1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评标价相等时，按照第一信封的排序规则和结果推荐中标候选人。</w:t>
            </w:r>
          </w:p>
        </w:tc>
      </w:tr>
      <w:tr w14:paraId="7CC2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restart"/>
            <w:tcBorders>
              <w:left w:val="single" w:color="auto" w:sz="12" w:space="0"/>
            </w:tcBorders>
            <w:vAlign w:val="center"/>
          </w:tcPr>
          <w:p w14:paraId="7AEB55A2">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w:t>
            </w:r>
          </w:p>
          <w:p w14:paraId="671959BA">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2.1.3</w:t>
            </w:r>
          </w:p>
        </w:tc>
        <w:tc>
          <w:tcPr>
            <w:tcW w:w="1636" w:type="dxa"/>
            <w:vAlign w:val="center"/>
          </w:tcPr>
          <w:p w14:paraId="77985FDD">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第一</w:t>
            </w:r>
            <w:r>
              <w:rPr>
                <w:rFonts w:hint="eastAsia" w:ascii="宋体" w:hAnsi="宋体" w:eastAsia="宋体" w:cs="宋体"/>
                <w:b/>
                <w:color w:val="auto"/>
                <w:sz w:val="21"/>
                <w:szCs w:val="21"/>
                <w:highlight w:val="none"/>
                <w:lang w:val="en-US" w:eastAsia="zh-CN"/>
              </w:rPr>
              <w:t>个</w:t>
            </w:r>
            <w:r>
              <w:rPr>
                <w:rFonts w:hint="eastAsia" w:ascii="宋体" w:hAnsi="宋体" w:eastAsia="宋体" w:cs="宋体"/>
                <w:b/>
                <w:color w:val="auto"/>
                <w:sz w:val="21"/>
                <w:szCs w:val="21"/>
                <w:highlight w:val="none"/>
                <w:lang w:val="zh-CN"/>
              </w:rPr>
              <w:t>信封</w:t>
            </w:r>
          </w:p>
          <w:p w14:paraId="3AA9B375">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形式评审与响应性评审标准</w:t>
            </w:r>
          </w:p>
        </w:tc>
        <w:tc>
          <w:tcPr>
            <w:tcW w:w="7002" w:type="dxa"/>
            <w:tcBorders>
              <w:right w:val="single" w:color="auto" w:sz="12" w:space="0"/>
            </w:tcBorders>
            <w:vAlign w:val="center"/>
          </w:tcPr>
          <w:p w14:paraId="7E12724A">
            <w:pPr>
              <w:keepLines w:val="0"/>
              <w:kinsoku/>
              <w:wordWrap/>
              <w:overflowPunct/>
              <w:topLinePunct w:val="0"/>
              <w:bidi w:val="0"/>
              <w:adjustRightInd w:val="0"/>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43EDA3A9">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Style w:val="24"/>
                <w:rFonts w:hint="eastAsia" w:ascii="宋体" w:hAnsi="宋体" w:eastAsia="宋体" w:cs="宋体"/>
                <w:color w:val="auto"/>
                <w:sz w:val="21"/>
                <w:szCs w:val="21"/>
                <w:highlight w:val="none"/>
              </w:rPr>
              <w:t>（1）投标文件按照招标文件规定的格式、内容填写，字迹清晰可辨：</w:t>
            </w:r>
          </w:p>
          <w:p w14:paraId="49C3A624">
            <w:pPr>
              <w:pStyle w:val="23"/>
              <w:keepLines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a</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投标函按招标文件规定填报了项目名称、标段号、补遗书编号（如有)、工期、工程质量要求及安全目标；</w:t>
            </w:r>
          </w:p>
          <w:p w14:paraId="014E3AAD">
            <w:pPr>
              <w:pStyle w:val="23"/>
              <w:keepLines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b</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投标函附录的所有数据均符合招标文件规定；</w:t>
            </w:r>
          </w:p>
          <w:p w14:paraId="7D4958BC">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c</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投标文件组成齐全完整，内容均按规定填写。</w:t>
            </w:r>
          </w:p>
          <w:p w14:paraId="35E84AB0">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3F2CEF1C">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（3）投标人按照招标文件的规定提供了投标保证金：</w:t>
            </w:r>
          </w:p>
          <w:p w14:paraId="1622E863">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a.投标保证金金额符合招标文件规定的金额，且投标保证金有效期不少于投标有效期；</w:t>
            </w:r>
          </w:p>
          <w:p w14:paraId="17A05CE0">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14:paraId="4B087116">
            <w:pPr>
              <w:pStyle w:val="23"/>
              <w:keepLines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c.若投标保证金采用保函形式提交，应满足</w:t>
            </w:r>
            <w:r>
              <w:rPr>
                <w:rStyle w:val="24"/>
                <w:rFonts w:hint="eastAsia" w:ascii="宋体" w:hAnsi="宋体" w:eastAsia="宋体" w:cs="宋体"/>
                <w:color w:val="auto"/>
                <w:sz w:val="21"/>
                <w:szCs w:val="21"/>
                <w:highlight w:val="none"/>
                <w:lang w:val="en-US"/>
              </w:rPr>
              <w:t>电子交易平台</w:t>
            </w:r>
            <w:r>
              <w:rPr>
                <w:rStyle w:val="24"/>
                <w:rFonts w:hint="eastAsia" w:ascii="宋体" w:hAnsi="宋体" w:eastAsia="宋体" w:cs="宋体"/>
                <w:color w:val="auto"/>
                <w:sz w:val="21"/>
                <w:szCs w:val="21"/>
                <w:highlight w:val="none"/>
              </w:rPr>
              <w:t>相关要求。</w:t>
            </w:r>
          </w:p>
          <w:p w14:paraId="060E176F">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（4）投标人法定代表人授权委托代理人签署投标文件的，需提交授权委托书，且授权人和被授权人均在授权委托书上签名。</w:t>
            </w:r>
          </w:p>
          <w:p w14:paraId="6B1F0301">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14:paraId="0BFD1A34">
            <w:pPr>
              <w:keepLines w:val="0"/>
              <w:kinsoku/>
              <w:wordWrap/>
              <w:overflowPunct/>
              <w:topLinePunct w:val="0"/>
              <w:bidi w:val="0"/>
              <w:spacing w:line="360" w:lineRule="exact"/>
              <w:ind w:firstLine="420" w:firstLineChars="200"/>
              <w:textAlignment w:val="auto"/>
              <w:rPr>
                <w:rStyle w:val="18"/>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rPr>
              <w:t>（6）</w:t>
            </w:r>
            <w:r>
              <w:rPr>
                <w:rStyle w:val="18"/>
                <w:rFonts w:hint="eastAsia" w:ascii="宋体" w:hAnsi="宋体" w:eastAsia="宋体" w:cs="宋体"/>
                <w:color w:val="auto"/>
                <w:sz w:val="21"/>
                <w:szCs w:val="21"/>
                <w:highlight w:val="none"/>
                <w:shd w:val="clear" w:color="auto" w:fill="auto"/>
              </w:rPr>
              <w:t>投标人以联合体形式投标时，投标人按照招标文件提供的格式签订了联合体协议书，明确各方承担连带责任，并明确了联合体牵头人</w:t>
            </w:r>
            <w:r>
              <w:rPr>
                <w:rStyle w:val="18"/>
                <w:rFonts w:hint="eastAsia" w:ascii="宋体" w:hAnsi="宋体" w:eastAsia="宋体" w:cs="宋体"/>
                <w:color w:val="auto"/>
                <w:sz w:val="21"/>
                <w:szCs w:val="21"/>
                <w:highlight w:val="none"/>
                <w:shd w:val="clear" w:color="auto" w:fill="auto"/>
                <w:lang w:eastAsia="zh-CN"/>
              </w:rPr>
              <w:t>。</w:t>
            </w:r>
          </w:p>
          <w:p w14:paraId="05C15600">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（7）投标人如有分包计划，符合招标文件第二章“投标人须知”第1.11款规定。</w:t>
            </w:r>
          </w:p>
          <w:p w14:paraId="27B4372D">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（8）同一投标人未提交两个以上不同的投标文件，但招标文件要求提交备选投标的除外。</w:t>
            </w:r>
          </w:p>
          <w:p w14:paraId="5AE51314">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14:paraId="4728CF5B">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14:paraId="003D5CF5">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14:paraId="0A364038">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1645485F">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73CEF1E2">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4CDBB6B0">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14:paraId="65D51A86">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6F310F73">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7E203B94">
            <w:pPr>
              <w:keepLines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tc>
      </w:tr>
      <w:tr w14:paraId="0CEE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continue"/>
            <w:tcBorders>
              <w:left w:val="single" w:color="auto" w:sz="12" w:space="0"/>
            </w:tcBorders>
            <w:vAlign w:val="center"/>
          </w:tcPr>
          <w:p w14:paraId="1F61833D">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p>
        </w:tc>
        <w:tc>
          <w:tcPr>
            <w:tcW w:w="1636" w:type="dxa"/>
            <w:vAlign w:val="center"/>
          </w:tcPr>
          <w:p w14:paraId="774B6188">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第二个信封</w:t>
            </w:r>
          </w:p>
          <w:p w14:paraId="4E8059DB">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形式评审与响应性评审标准</w:t>
            </w:r>
          </w:p>
        </w:tc>
        <w:tc>
          <w:tcPr>
            <w:tcW w:w="7002" w:type="dxa"/>
            <w:tcBorders>
              <w:right w:val="single" w:color="auto" w:sz="12" w:space="0"/>
            </w:tcBorders>
            <w:vAlign w:val="center"/>
          </w:tcPr>
          <w:p w14:paraId="5D7FD4BA">
            <w:pPr>
              <w:keepLines w:val="0"/>
              <w:tabs>
                <w:tab w:val="left" w:pos="0"/>
              </w:tabs>
              <w:kinsoku/>
              <w:wordWrap/>
              <w:overflowPunct/>
              <w:topLinePunct w:val="0"/>
              <w:bidi w:val="0"/>
              <w:adjustRightInd w:val="0"/>
              <w:snapToGrid w:val="0"/>
              <w:spacing w:line="360" w:lineRule="exact"/>
              <w:ind w:left="-73" w:leftChars="-3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09D64755">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14:paraId="534DC855">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a.投标函按招标文件规定填报了项目名称、标段号、补遗书编号(如有)、投标价（包括大写金额和小写金额)；</w:t>
            </w:r>
          </w:p>
          <w:p w14:paraId="082ADB0C">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b.已标价工程量清单说明文字与招标文件规定一致，未进行实质性修改和删减；</w:t>
            </w:r>
          </w:p>
          <w:p w14:paraId="3FF809F3">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14:paraId="5EDA3D2E">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4D92425F">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（3）投标报价未超过招标文件设定的最高投标限价。</w:t>
            </w:r>
          </w:p>
          <w:p w14:paraId="71F5FB78">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（4）投标报价中报价的大写金额能够确定具体数值。</w:t>
            </w:r>
          </w:p>
          <w:p w14:paraId="33098EC3">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p w14:paraId="511AB50A">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（6）投标人未提交调价函。</w:t>
            </w:r>
          </w:p>
          <w:p w14:paraId="369B9388">
            <w:pPr>
              <w:keepLines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（7）投标人若填写工程量固化清单，填写完毕的工程量固化清单未对工程量固化清单电子文件中的数据、格式和运算定义进行修改；工程量固化清单中的投标报价和投标函大写金额报价一致。</w:t>
            </w:r>
          </w:p>
        </w:tc>
      </w:tr>
      <w:tr w14:paraId="4163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54C29D77">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p>
        </w:tc>
        <w:tc>
          <w:tcPr>
            <w:tcW w:w="1636" w:type="dxa"/>
            <w:vAlign w:val="center"/>
          </w:tcPr>
          <w:p w14:paraId="28732E9D">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资格评审标准</w:t>
            </w:r>
          </w:p>
        </w:tc>
        <w:tc>
          <w:tcPr>
            <w:tcW w:w="7002" w:type="dxa"/>
            <w:tcBorders>
              <w:right w:val="single" w:color="auto" w:sz="12" w:space="0"/>
            </w:tcBorders>
            <w:vAlign w:val="center"/>
          </w:tcPr>
          <w:p w14:paraId="53AE3BB9">
            <w:pPr>
              <w:pStyle w:val="25"/>
              <w:keepLines w:val="0"/>
              <w:shd w:val="clear" w:color="auto" w:fill="auto"/>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（1）</w:t>
            </w:r>
            <w:r>
              <w:rPr>
                <w:rFonts w:hint="eastAsia" w:ascii="宋体" w:hAnsi="宋体" w:eastAsia="宋体" w:cs="宋体"/>
                <w:color w:val="auto"/>
                <w:sz w:val="21"/>
                <w:szCs w:val="21"/>
                <w:highlight w:val="none"/>
                <w:lang w:val="en-US" w:eastAsia="zh-CN"/>
              </w:rPr>
              <w:t>投标人具备有效的营业执照、资质证书、安全生产许可证和基本账户开户证明材料。</w:t>
            </w:r>
          </w:p>
          <w:p w14:paraId="736B3A8B">
            <w:pPr>
              <w:pStyle w:val="25"/>
              <w:keepLines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rPr>
              <w:t>投标人的资质等级符合招标文件规定。</w:t>
            </w:r>
          </w:p>
          <w:p w14:paraId="4B89CD4A">
            <w:pPr>
              <w:pStyle w:val="25"/>
              <w:keepLines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（3）</w:t>
            </w:r>
            <w:r>
              <w:rPr>
                <w:rFonts w:hint="eastAsia" w:ascii="宋体" w:hAnsi="宋体" w:eastAsia="宋体" w:cs="宋体"/>
                <w:color w:val="auto"/>
                <w:sz w:val="21"/>
                <w:szCs w:val="21"/>
                <w:highlight w:val="none"/>
                <w:lang w:val="en-US" w:eastAsia="zh-CN"/>
              </w:rPr>
              <w:t>投标人的财务状况符合招标文件规定。</w:t>
            </w:r>
          </w:p>
          <w:p w14:paraId="5C111FF8">
            <w:pPr>
              <w:pStyle w:val="25"/>
              <w:keepLines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（4）投标人的类似项目业绩符合招标文件规定。</w:t>
            </w:r>
          </w:p>
          <w:p w14:paraId="20165C5D">
            <w:pPr>
              <w:keepLines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（5）投标人的信誉符合招标文件规定</w:t>
            </w:r>
            <w:r>
              <w:rPr>
                <w:rFonts w:hint="eastAsia" w:ascii="宋体" w:hAnsi="宋体" w:eastAsia="宋体" w:cs="宋体"/>
                <w:color w:val="auto"/>
                <w:sz w:val="21"/>
                <w:szCs w:val="21"/>
                <w:highlight w:val="none"/>
                <w:lang w:eastAsia="zh-CN"/>
              </w:rPr>
              <w:t>。</w:t>
            </w:r>
          </w:p>
          <w:p w14:paraId="40B6FDEA">
            <w:pPr>
              <w:pStyle w:val="23"/>
              <w:keepLines w:val="0"/>
              <w:shd w:val="clear" w:color="auto" w:fill="auto"/>
              <w:tabs>
                <w:tab w:val="left" w:pos="1068"/>
              </w:tabs>
              <w:kinsoku/>
              <w:wordWrap/>
              <w:overflowPunct/>
              <w:topLinePunct w:val="0"/>
              <w:bidi w:val="0"/>
              <w:spacing w:before="0"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Style w:val="24"/>
                <w:rFonts w:hint="eastAsia" w:ascii="宋体" w:hAnsi="宋体" w:eastAsia="宋体" w:cs="宋体"/>
                <w:color w:val="auto"/>
                <w:sz w:val="21"/>
                <w:szCs w:val="21"/>
                <w:highlight w:val="none"/>
              </w:rPr>
              <w:t>（6）投标人的项目经理和项目总工资格、在岗情况符合招标文件规定。</w:t>
            </w:r>
          </w:p>
          <w:p w14:paraId="30A4978E">
            <w:pPr>
              <w:pStyle w:val="23"/>
              <w:keepLines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（7）投标人不存在第二章“投标人须知”第1.4.3项或第1.4.4项规定的任何一种情形。</w:t>
            </w:r>
          </w:p>
          <w:p w14:paraId="3EE3A4D9">
            <w:pPr>
              <w:pStyle w:val="23"/>
              <w:keepLines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lang w:val="en-US"/>
              </w:rPr>
            </w:pPr>
            <w:r>
              <w:rPr>
                <w:rStyle w:val="24"/>
                <w:rFonts w:hint="eastAsia" w:ascii="宋体" w:hAnsi="宋体" w:eastAsia="宋体" w:cs="宋体"/>
                <w:color w:val="auto"/>
                <w:sz w:val="21"/>
                <w:szCs w:val="21"/>
                <w:highlight w:val="none"/>
              </w:rPr>
              <w:t>（8）以联合体形式参与投标的，联合体各方均未再以自己名义单独或参加其他联合体在同一标段中投标。</w:t>
            </w:r>
          </w:p>
        </w:tc>
      </w:tr>
      <w:tr w14:paraId="3656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63560F0F">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2.2.1</w:t>
            </w:r>
          </w:p>
        </w:tc>
        <w:tc>
          <w:tcPr>
            <w:tcW w:w="1636" w:type="dxa"/>
            <w:vAlign w:val="center"/>
          </w:tcPr>
          <w:p w14:paraId="5EE5AE7E">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第一个信封</w:t>
            </w:r>
          </w:p>
          <w:p w14:paraId="1E44BF71">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评分值构成</w:t>
            </w:r>
          </w:p>
          <w:p w14:paraId="28DC0D6C">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（总分100分）</w:t>
            </w:r>
          </w:p>
        </w:tc>
        <w:tc>
          <w:tcPr>
            <w:tcW w:w="7002" w:type="dxa"/>
            <w:tcBorders>
              <w:right w:val="single" w:color="auto" w:sz="12" w:space="0"/>
            </w:tcBorders>
            <w:vAlign w:val="center"/>
          </w:tcPr>
          <w:p w14:paraId="368E1C69">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施工组织设计：40分；</w:t>
            </w:r>
          </w:p>
          <w:p w14:paraId="39C5AA0C">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主要人员：25分；</w:t>
            </w:r>
          </w:p>
          <w:p w14:paraId="7070A0A1">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其他评分因素：35分。</w:t>
            </w:r>
          </w:p>
        </w:tc>
      </w:tr>
      <w:tr w14:paraId="61BE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6CB14390">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2.2.3</w:t>
            </w:r>
          </w:p>
        </w:tc>
        <w:tc>
          <w:tcPr>
            <w:tcW w:w="1636" w:type="dxa"/>
            <w:vAlign w:val="center"/>
          </w:tcPr>
          <w:p w14:paraId="15E63FAB">
            <w:pPr>
              <w:keepLines w:val="0"/>
              <w:kinsoku/>
              <w:wordWrap/>
              <w:overflowPunct/>
              <w:topLinePunct w:val="0"/>
              <w:autoSpaceDE w:val="0"/>
              <w:autoSpaceDN w:val="0"/>
              <w:bidi w:val="0"/>
              <w:adjustRightInd w:val="0"/>
              <w:spacing w:line="360" w:lineRule="exact"/>
              <w:ind w:firstLine="105" w:firstLineChars="5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第二个信封详细评审标准</w:t>
            </w:r>
          </w:p>
        </w:tc>
        <w:tc>
          <w:tcPr>
            <w:tcW w:w="7002" w:type="dxa"/>
            <w:tcBorders>
              <w:right w:val="single" w:color="auto" w:sz="12" w:space="0"/>
            </w:tcBorders>
            <w:vAlign w:val="center"/>
          </w:tcPr>
          <w:p w14:paraId="72D09396">
            <w:pPr>
              <w:keepLines w:val="0"/>
              <w:kinsoku/>
              <w:wordWrap/>
              <w:overflowPunct/>
              <w:topLinePunct w:val="0"/>
              <w:autoSpaceDE w:val="0"/>
              <w:autoSpaceDN w:val="0"/>
              <w:bidi w:val="0"/>
              <w:adjustRightInd w:val="0"/>
              <w:spacing w:line="36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评标价计算公式：</w:t>
            </w:r>
            <w:r>
              <w:rPr>
                <w:rFonts w:hint="eastAsia" w:ascii="宋体" w:hAnsi="宋体" w:eastAsia="宋体" w:cs="宋体"/>
                <w:color w:val="auto"/>
                <w:sz w:val="21"/>
                <w:szCs w:val="21"/>
                <w:highlight w:val="none"/>
              </w:rPr>
              <w:t>评标价=投标函文字报价</w:t>
            </w:r>
          </w:p>
        </w:tc>
      </w:tr>
      <w:tr w14:paraId="7D2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bottom w:val="single" w:color="auto" w:sz="12" w:space="0"/>
            </w:tcBorders>
            <w:vAlign w:val="center"/>
          </w:tcPr>
          <w:p w14:paraId="2AB10F49">
            <w:pPr>
              <w:keepLines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3.2.4</w:t>
            </w:r>
          </w:p>
        </w:tc>
        <w:tc>
          <w:tcPr>
            <w:tcW w:w="1636" w:type="dxa"/>
            <w:tcBorders>
              <w:bottom w:val="single" w:color="auto" w:sz="12" w:space="0"/>
            </w:tcBorders>
            <w:vAlign w:val="center"/>
          </w:tcPr>
          <w:p w14:paraId="7ED06B1C">
            <w:pPr>
              <w:keepLines w:val="0"/>
              <w:kinsoku/>
              <w:wordWrap/>
              <w:overflowPunct/>
              <w:topLinePunct w:val="0"/>
              <w:autoSpaceDE w:val="0"/>
              <w:autoSpaceDN w:val="0"/>
              <w:bidi w:val="0"/>
              <w:adjustRightInd w:val="0"/>
              <w:spacing w:line="360" w:lineRule="exact"/>
              <w:ind w:firstLine="105" w:firstLineChars="5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通过第一个信封详细评审的投标人数量</w:t>
            </w:r>
          </w:p>
        </w:tc>
        <w:tc>
          <w:tcPr>
            <w:tcW w:w="7002" w:type="dxa"/>
            <w:tcBorders>
              <w:bottom w:val="single" w:color="auto" w:sz="12" w:space="0"/>
              <w:right w:val="single" w:color="auto" w:sz="12" w:space="0"/>
            </w:tcBorders>
            <w:vAlign w:val="center"/>
          </w:tcPr>
          <w:p w14:paraId="0AD11753">
            <w:pPr>
              <w:keepLines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按照投标人的商务和技术得分由高到低排序，选择前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3 </w:t>
            </w:r>
            <w:r>
              <w:rPr>
                <w:rFonts w:hint="eastAsia" w:ascii="宋体" w:hAnsi="宋体" w:eastAsia="宋体" w:cs="宋体"/>
                <w:color w:val="auto"/>
                <w:sz w:val="21"/>
                <w:szCs w:val="21"/>
                <w:highlight w:val="none"/>
              </w:rPr>
              <w:t>名通过详细评审。</w:t>
            </w:r>
          </w:p>
          <w:p w14:paraId="5011FF12">
            <w:pPr>
              <w:keepLines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如同一标段出现多名投标人的第一信封（商务及技术文件）综合评分相等时，则按照以下所列</w:t>
            </w:r>
            <w:r>
              <w:rPr>
                <w:rFonts w:hint="eastAsia" w:ascii="宋体" w:hAnsi="宋体" w:eastAsia="宋体" w:cs="宋体"/>
                <w:color w:val="auto"/>
                <w:sz w:val="21"/>
                <w:szCs w:val="21"/>
                <w:highlight w:val="none"/>
                <w:lang w:val="en-US" w:eastAsia="zh-CN"/>
              </w:rPr>
              <w:t>顺序</w:t>
            </w:r>
            <w:r>
              <w:rPr>
                <w:rFonts w:hint="eastAsia" w:ascii="宋体" w:hAnsi="宋体" w:eastAsia="宋体" w:cs="宋体"/>
                <w:color w:val="auto"/>
                <w:sz w:val="21"/>
                <w:szCs w:val="21"/>
                <w:highlight w:val="none"/>
              </w:rPr>
              <w:t>在前的优先：</w:t>
            </w:r>
          </w:p>
          <w:p w14:paraId="74CCD384">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a.信用评价得分较高者；</w:t>
            </w:r>
          </w:p>
          <w:p w14:paraId="6B9F8435">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b.主要人员得分较高者；</w:t>
            </w:r>
          </w:p>
          <w:p w14:paraId="0D3D6847">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c.施工组织设计得分较高者；</w:t>
            </w:r>
          </w:p>
          <w:p w14:paraId="6CE90AF4">
            <w:pPr>
              <w:keepLines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若以上各项评分因素得分都相等，则通过评委会投票表决，推荐票数多的投标人评分排序在先。</w:t>
            </w:r>
          </w:p>
        </w:tc>
      </w:tr>
    </w:tbl>
    <w:p w14:paraId="11897760">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914"/>
        <w:gridCol w:w="675"/>
        <w:gridCol w:w="945"/>
        <w:gridCol w:w="1845"/>
        <w:gridCol w:w="855"/>
        <w:gridCol w:w="4303"/>
      </w:tblGrid>
      <w:tr w14:paraId="0C9A27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7" w:hRule="atLeast"/>
          <w:jc w:val="center"/>
        </w:trPr>
        <w:tc>
          <w:tcPr>
            <w:tcW w:w="5234" w:type="dxa"/>
            <w:gridSpan w:val="5"/>
            <w:tcBorders>
              <w:tl2br w:val="nil"/>
              <w:tr2bl w:val="nil"/>
            </w:tcBorders>
            <w:vAlign w:val="center"/>
          </w:tcPr>
          <w:p w14:paraId="6534D9D7">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评分因素与权重分值</w:t>
            </w:r>
            <w:r>
              <w:rPr>
                <w:rFonts w:hint="eastAsia" w:ascii="宋体" w:hAnsi="宋体" w:eastAsia="宋体" w:cs="宋体"/>
                <w:color w:val="auto"/>
                <w:sz w:val="21"/>
                <w:szCs w:val="21"/>
                <w:highlight w:val="none"/>
                <w:vertAlign w:val="superscript"/>
              </w:rPr>
              <w:footnoteReference w:id="4"/>
            </w:r>
          </w:p>
        </w:tc>
        <w:tc>
          <w:tcPr>
            <w:tcW w:w="4303" w:type="dxa"/>
            <w:vMerge w:val="restart"/>
            <w:tcBorders>
              <w:tl2br w:val="nil"/>
              <w:tr2bl w:val="nil"/>
            </w:tcBorders>
            <w:vAlign w:val="center"/>
          </w:tcPr>
          <w:p w14:paraId="0C3A04B5">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BC40B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737" w:hRule="atLeast"/>
          <w:jc w:val="center"/>
        </w:trPr>
        <w:tc>
          <w:tcPr>
            <w:tcW w:w="914" w:type="dxa"/>
            <w:tcBorders>
              <w:tl2br w:val="nil"/>
              <w:tr2bl w:val="nil"/>
            </w:tcBorders>
            <w:vAlign w:val="center"/>
          </w:tcPr>
          <w:p w14:paraId="076911DF">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675" w:type="dxa"/>
            <w:tcBorders>
              <w:tl2br w:val="nil"/>
              <w:tr2bl w:val="nil"/>
            </w:tcBorders>
            <w:vAlign w:val="center"/>
          </w:tcPr>
          <w:p w14:paraId="565247DB">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因素</w:t>
            </w:r>
          </w:p>
        </w:tc>
        <w:tc>
          <w:tcPr>
            <w:tcW w:w="945" w:type="dxa"/>
            <w:tcBorders>
              <w:tl2br w:val="nil"/>
              <w:tr2bl w:val="nil"/>
            </w:tcBorders>
            <w:vAlign w:val="center"/>
          </w:tcPr>
          <w:p w14:paraId="4F64DEBC">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权重分值</w:t>
            </w:r>
          </w:p>
        </w:tc>
        <w:tc>
          <w:tcPr>
            <w:tcW w:w="1845" w:type="dxa"/>
            <w:tcBorders>
              <w:tl2br w:val="nil"/>
              <w:tr2bl w:val="nil"/>
            </w:tcBorders>
            <w:vAlign w:val="center"/>
          </w:tcPr>
          <w:p w14:paraId="04848567">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各评分因素细分项</w:t>
            </w:r>
          </w:p>
        </w:tc>
        <w:tc>
          <w:tcPr>
            <w:tcW w:w="855" w:type="dxa"/>
            <w:tcBorders>
              <w:tl2br w:val="nil"/>
              <w:tr2bl w:val="nil"/>
            </w:tcBorders>
            <w:vAlign w:val="center"/>
          </w:tcPr>
          <w:p w14:paraId="04E63EEB">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303" w:type="dxa"/>
            <w:vMerge w:val="continue"/>
            <w:tcBorders>
              <w:tl2br w:val="nil"/>
              <w:tr2bl w:val="nil"/>
            </w:tcBorders>
            <w:vAlign w:val="center"/>
          </w:tcPr>
          <w:p w14:paraId="13D9FBA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b/>
                <w:color w:val="auto"/>
                <w:sz w:val="21"/>
                <w:szCs w:val="21"/>
                <w:highlight w:val="none"/>
              </w:rPr>
            </w:pPr>
          </w:p>
        </w:tc>
      </w:tr>
      <w:tr w14:paraId="5F2B0C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59EABF23">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w:t>
            </w:r>
          </w:p>
        </w:tc>
        <w:tc>
          <w:tcPr>
            <w:tcW w:w="675" w:type="dxa"/>
            <w:vMerge w:val="restart"/>
            <w:tcBorders>
              <w:tl2br w:val="nil"/>
              <w:tr2bl w:val="nil"/>
            </w:tcBorders>
            <w:vAlign w:val="center"/>
          </w:tcPr>
          <w:p w14:paraId="60B036B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tc>
        <w:tc>
          <w:tcPr>
            <w:tcW w:w="945" w:type="dxa"/>
            <w:vMerge w:val="restart"/>
            <w:tcBorders>
              <w:tl2br w:val="nil"/>
              <w:tr2bl w:val="nil"/>
            </w:tcBorders>
            <w:vAlign w:val="center"/>
          </w:tcPr>
          <w:p w14:paraId="5A9D4886">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1845" w:type="dxa"/>
            <w:vMerge w:val="restart"/>
            <w:tcBorders>
              <w:tl2br w:val="nil"/>
              <w:tr2bl w:val="nil"/>
            </w:tcBorders>
            <w:vAlign w:val="center"/>
          </w:tcPr>
          <w:p w14:paraId="19010873">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w:t>
            </w:r>
          </w:p>
        </w:tc>
        <w:tc>
          <w:tcPr>
            <w:tcW w:w="855" w:type="dxa"/>
            <w:vMerge w:val="restart"/>
            <w:tcBorders>
              <w:tl2br w:val="nil"/>
              <w:tr2bl w:val="nil"/>
            </w:tcBorders>
            <w:vAlign w:val="center"/>
          </w:tcPr>
          <w:p w14:paraId="12EDF178">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303" w:type="dxa"/>
            <w:tcBorders>
              <w:tl2br w:val="nil"/>
              <w:tr2bl w:val="nil"/>
            </w:tcBorders>
            <w:vAlign w:val="center"/>
          </w:tcPr>
          <w:p w14:paraId="7572B53B">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总体方案切实可行，对本项目具有针对性</w:t>
            </w:r>
            <w:r>
              <w:rPr>
                <w:rFonts w:hint="eastAsia" w:ascii="宋体" w:hAnsi="宋体" w:eastAsia="宋体" w:cs="宋体"/>
                <w:color w:val="auto"/>
                <w:kern w:val="0"/>
                <w:sz w:val="21"/>
                <w:szCs w:val="21"/>
                <w:highlight w:val="none"/>
              </w:rPr>
              <w:t>，8.0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10.0分</w:t>
            </w:r>
          </w:p>
        </w:tc>
      </w:tr>
      <w:tr w14:paraId="518297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645DFDB">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CB0A44E">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D2EE73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55D5B419">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01BC5909">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116789EA">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总体方案较满足要求</w:t>
            </w:r>
            <w:r>
              <w:rPr>
                <w:rFonts w:hint="eastAsia" w:ascii="宋体" w:hAnsi="宋体" w:eastAsia="宋体" w:cs="宋体"/>
                <w:color w:val="auto"/>
                <w:kern w:val="0"/>
                <w:sz w:val="21"/>
                <w:szCs w:val="21"/>
                <w:highlight w:val="none"/>
              </w:rPr>
              <w:t>，6.0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8.0分</w:t>
            </w:r>
          </w:p>
        </w:tc>
      </w:tr>
      <w:tr w14:paraId="15A3AC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1F789FC">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79F9C8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F4CDE3C">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7E6F60D7">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516DBCB7">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33DB9C0F">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总体方案基本满足要求</w:t>
            </w:r>
            <w:r>
              <w:rPr>
                <w:rFonts w:hint="eastAsia" w:ascii="宋体" w:hAnsi="宋体" w:eastAsia="宋体" w:cs="宋体"/>
                <w:color w:val="auto"/>
                <w:kern w:val="0"/>
                <w:sz w:val="21"/>
                <w:szCs w:val="21"/>
                <w:highlight w:val="none"/>
              </w:rPr>
              <w:t>，6.0分</w:t>
            </w:r>
          </w:p>
        </w:tc>
      </w:tr>
      <w:tr w14:paraId="4131A4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20F590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3EB7D959">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7575E9D3">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237EF9DD">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主要工程项目的施工方案、方法与技术措施</w:t>
            </w:r>
          </w:p>
        </w:tc>
        <w:tc>
          <w:tcPr>
            <w:tcW w:w="855" w:type="dxa"/>
            <w:vMerge w:val="restart"/>
            <w:tcBorders>
              <w:tl2br w:val="nil"/>
              <w:tr2bl w:val="nil"/>
            </w:tcBorders>
            <w:vAlign w:val="center"/>
          </w:tcPr>
          <w:p w14:paraId="077AB9EB">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303" w:type="dxa"/>
            <w:tcBorders>
              <w:tl2br w:val="nil"/>
              <w:tr2bl w:val="nil"/>
            </w:tcBorders>
            <w:vAlign w:val="center"/>
          </w:tcPr>
          <w:p w14:paraId="2589CA5A">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内容齐全、完善；方案和措施具有操作性、先进、合理</w:t>
            </w:r>
            <w:r>
              <w:rPr>
                <w:rFonts w:hint="eastAsia" w:ascii="宋体" w:hAnsi="宋体" w:eastAsia="宋体" w:cs="宋体"/>
                <w:color w:val="auto"/>
                <w:kern w:val="0"/>
                <w:sz w:val="21"/>
                <w:szCs w:val="21"/>
                <w:highlight w:val="none"/>
              </w:rPr>
              <w:t>，12.0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15.0分</w:t>
            </w:r>
          </w:p>
        </w:tc>
      </w:tr>
      <w:tr w14:paraId="67398B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2F15F835">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469F09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2E5BB36D">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308FED9E">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4CFE8F91">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7585D387">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内容较完整；方案与措施满足施工要求</w:t>
            </w:r>
            <w:r>
              <w:rPr>
                <w:rFonts w:hint="eastAsia" w:ascii="宋体" w:hAnsi="宋体" w:eastAsia="宋体" w:cs="宋体"/>
                <w:color w:val="auto"/>
                <w:kern w:val="0"/>
                <w:sz w:val="21"/>
                <w:szCs w:val="21"/>
                <w:highlight w:val="none"/>
              </w:rPr>
              <w:t>，9.0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12.0分</w:t>
            </w:r>
          </w:p>
        </w:tc>
      </w:tr>
      <w:tr w14:paraId="4A5392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557D14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4DAE4E73">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00DA088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21D153C4">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6B3D91AD">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46D934FD">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内容完整；方案与措施基本满足施工要求</w:t>
            </w:r>
            <w:r>
              <w:rPr>
                <w:rFonts w:hint="eastAsia" w:ascii="宋体" w:hAnsi="宋体" w:eastAsia="宋体" w:cs="宋体"/>
                <w:color w:val="auto"/>
                <w:kern w:val="0"/>
                <w:sz w:val="21"/>
                <w:szCs w:val="21"/>
                <w:highlight w:val="none"/>
              </w:rPr>
              <w:t>，9.0分</w:t>
            </w:r>
          </w:p>
        </w:tc>
      </w:tr>
      <w:tr w14:paraId="0E096E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095A39B">
            <w:pPr>
              <w:keepLines w:val="0"/>
              <w:kinsoku/>
              <w:wordWrap/>
              <w:overflowPunct/>
              <w:topLinePunct w:val="0"/>
              <w:bidi w:val="0"/>
              <w:adjustRightInd w:val="0"/>
              <w:snapToGrid w:val="0"/>
              <w:spacing w:line="360" w:lineRule="exact"/>
              <w:jc w:val="right"/>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AE11CE6">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D6E048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07A8BB76">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各类</w:t>
            </w:r>
            <w:r>
              <w:rPr>
                <w:rFonts w:hint="eastAsia" w:ascii="宋体" w:hAnsi="宋体" w:eastAsia="宋体" w:cs="宋体"/>
                <w:bCs/>
                <w:color w:val="auto"/>
                <w:sz w:val="21"/>
                <w:szCs w:val="21"/>
                <w:highlight w:val="none"/>
                <w:lang w:val="zh-CN"/>
              </w:rPr>
              <w:t>保证体系及保证措施</w:t>
            </w:r>
          </w:p>
        </w:tc>
        <w:tc>
          <w:tcPr>
            <w:tcW w:w="855" w:type="dxa"/>
            <w:vMerge w:val="restart"/>
            <w:tcBorders>
              <w:tl2br w:val="nil"/>
              <w:tr2bl w:val="nil"/>
            </w:tcBorders>
            <w:vAlign w:val="center"/>
          </w:tcPr>
          <w:p w14:paraId="3027C325">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303" w:type="dxa"/>
            <w:tcBorders>
              <w:tl2br w:val="nil"/>
              <w:tr2bl w:val="nil"/>
            </w:tcBorders>
            <w:vAlign w:val="center"/>
          </w:tcPr>
          <w:p w14:paraId="2F983EFA">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保证体系和保证措施具有操作性、先进、合理</w:t>
            </w:r>
            <w:r>
              <w:rPr>
                <w:rFonts w:hint="eastAsia" w:ascii="宋体" w:hAnsi="宋体" w:eastAsia="宋体" w:cs="宋体"/>
                <w:color w:val="auto"/>
                <w:kern w:val="0"/>
                <w:sz w:val="21"/>
                <w:szCs w:val="21"/>
                <w:highlight w:val="none"/>
              </w:rPr>
              <w:t>，8.0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10.0分</w:t>
            </w:r>
          </w:p>
        </w:tc>
      </w:tr>
      <w:tr w14:paraId="585D22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40D3B5E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BAB9C05">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A2C27F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4356DF12">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4136EA37">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7DE0FAF4">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方案与措施满足施工要求</w:t>
            </w:r>
            <w:r>
              <w:rPr>
                <w:rFonts w:hint="eastAsia" w:ascii="宋体" w:hAnsi="宋体" w:eastAsia="宋体" w:cs="宋体"/>
                <w:color w:val="auto"/>
                <w:kern w:val="0"/>
                <w:sz w:val="21"/>
                <w:szCs w:val="21"/>
                <w:highlight w:val="none"/>
              </w:rPr>
              <w:t>，6.0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8.0分</w:t>
            </w:r>
          </w:p>
        </w:tc>
      </w:tr>
      <w:tr w14:paraId="3D1B86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4536826">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95876A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E0E5952">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1D6DD8FE">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00B7E9F2">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6C5E6824">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方案与措</w:t>
            </w:r>
            <w:r>
              <w:rPr>
                <w:rFonts w:hint="eastAsia" w:ascii="宋体" w:hAnsi="宋体" w:eastAsia="宋体" w:cs="宋体"/>
                <w:color w:val="auto"/>
                <w:sz w:val="21"/>
                <w:szCs w:val="21"/>
                <w:highlight w:val="none"/>
                <w:shd w:val="clear" w:color="auto" w:fill="FFFFFF"/>
                <w:lang w:val="en-US" w:eastAsia="zh-CN"/>
              </w:rPr>
              <w:t>24</w:t>
            </w:r>
            <w:r>
              <w:rPr>
                <w:rFonts w:hint="eastAsia" w:ascii="宋体" w:hAnsi="宋体" w:eastAsia="宋体" w:cs="宋体"/>
                <w:color w:val="auto"/>
                <w:sz w:val="21"/>
                <w:szCs w:val="21"/>
                <w:highlight w:val="none"/>
                <w:shd w:val="clear" w:color="auto" w:fill="FFFFFF"/>
              </w:rPr>
              <w:t>施基本满足施工要求</w:t>
            </w:r>
            <w:r>
              <w:rPr>
                <w:rFonts w:hint="eastAsia" w:ascii="宋体" w:hAnsi="宋体" w:eastAsia="宋体" w:cs="宋体"/>
                <w:color w:val="auto"/>
                <w:kern w:val="0"/>
                <w:sz w:val="21"/>
                <w:szCs w:val="21"/>
                <w:highlight w:val="none"/>
              </w:rPr>
              <w:t>，6.0分</w:t>
            </w:r>
          </w:p>
        </w:tc>
      </w:tr>
      <w:tr w14:paraId="135FF2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14C2563">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0345A0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3C4122E5">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4D4FFEF6">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项目风险预测与防范，事故应急预案</w:t>
            </w:r>
          </w:p>
        </w:tc>
        <w:tc>
          <w:tcPr>
            <w:tcW w:w="855" w:type="dxa"/>
            <w:vMerge w:val="restart"/>
            <w:tcBorders>
              <w:tl2br w:val="nil"/>
              <w:tr2bl w:val="nil"/>
            </w:tcBorders>
            <w:vAlign w:val="center"/>
          </w:tcPr>
          <w:p w14:paraId="30022112">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303" w:type="dxa"/>
            <w:tcBorders>
              <w:tl2br w:val="nil"/>
              <w:tr2bl w:val="nil"/>
            </w:tcBorders>
            <w:vAlign w:val="center"/>
          </w:tcPr>
          <w:p w14:paraId="2E3BBE8A">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项目风险预测与防范具体，预案具有操作性、先进、合理</w:t>
            </w:r>
            <w:r>
              <w:rPr>
                <w:rFonts w:hint="eastAsia" w:ascii="宋体" w:hAnsi="宋体" w:eastAsia="宋体" w:cs="宋体"/>
                <w:color w:val="auto"/>
                <w:sz w:val="21"/>
                <w:szCs w:val="21"/>
                <w:highlight w:val="none"/>
              </w:rPr>
              <w:t>，4.0-5.0分</w:t>
            </w:r>
          </w:p>
        </w:tc>
      </w:tr>
      <w:tr w14:paraId="3AC060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059722B">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D27E75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6F6C64C">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62F269D8">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6A795B93">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700C921D">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事故应急预案满足施工要求</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rPr>
              <w:t>4.0分</w:t>
            </w:r>
          </w:p>
        </w:tc>
      </w:tr>
      <w:tr w14:paraId="51B613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DB66BD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623A8B4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E82351F">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0014E094">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6F6AADDC">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60AB409F">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事故应急预案基本满足施工要求</w:t>
            </w:r>
            <w:r>
              <w:rPr>
                <w:rFonts w:hint="eastAsia" w:ascii="宋体" w:hAnsi="宋体" w:eastAsia="宋体" w:cs="宋体"/>
                <w:color w:val="auto"/>
                <w:sz w:val="21"/>
                <w:szCs w:val="21"/>
                <w:highlight w:val="none"/>
              </w:rPr>
              <w:t>，3.0分</w:t>
            </w:r>
          </w:p>
        </w:tc>
      </w:tr>
      <w:tr w14:paraId="101923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914" w:type="dxa"/>
            <w:vMerge w:val="restart"/>
            <w:tcBorders>
              <w:tl2br w:val="nil"/>
              <w:tr2bl w:val="nil"/>
            </w:tcBorders>
            <w:vAlign w:val="center"/>
          </w:tcPr>
          <w:p w14:paraId="567B9C2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w:t>
            </w:r>
          </w:p>
        </w:tc>
        <w:tc>
          <w:tcPr>
            <w:tcW w:w="675" w:type="dxa"/>
            <w:vMerge w:val="restart"/>
            <w:tcBorders>
              <w:tl2br w:val="nil"/>
              <w:tr2bl w:val="nil"/>
            </w:tcBorders>
            <w:vAlign w:val="center"/>
          </w:tcPr>
          <w:p w14:paraId="6CAC650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14:paraId="5461015D">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945" w:type="dxa"/>
            <w:vMerge w:val="restart"/>
            <w:tcBorders>
              <w:tl2br w:val="nil"/>
              <w:tr2bl w:val="nil"/>
            </w:tcBorders>
            <w:vAlign w:val="center"/>
          </w:tcPr>
          <w:p w14:paraId="01AA12C7">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845" w:type="dxa"/>
            <w:tcBorders>
              <w:tl2br w:val="nil"/>
              <w:tr2bl w:val="nil"/>
            </w:tcBorders>
            <w:vAlign w:val="center"/>
          </w:tcPr>
          <w:p w14:paraId="77A2A97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p w14:paraId="36999CD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855" w:type="dxa"/>
            <w:tcBorders>
              <w:tl2br w:val="nil"/>
              <w:tr2bl w:val="nil"/>
            </w:tcBorders>
            <w:vAlign w:val="center"/>
          </w:tcPr>
          <w:p w14:paraId="2F63ADFC">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303" w:type="dxa"/>
            <w:tcBorders>
              <w:tl2br w:val="nil"/>
              <w:tr2bl w:val="nil"/>
            </w:tcBorders>
            <w:vAlign w:val="center"/>
          </w:tcPr>
          <w:p w14:paraId="66D07C7E">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满足最低资格审查条件要求，得9分。</w:t>
            </w:r>
          </w:p>
          <w:p w14:paraId="03896109">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在满足最低要求的基础上，每提供</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en-US" w:eastAsia="zh-CN"/>
              </w:rPr>
              <w:t>座</w:t>
            </w:r>
            <w:r>
              <w:rPr>
                <w:rFonts w:hint="eastAsia" w:ascii="宋体" w:hAnsi="宋体" w:eastAsia="宋体" w:cs="宋体"/>
                <w:color w:val="auto"/>
                <w:sz w:val="21"/>
                <w:szCs w:val="21"/>
                <w:highlight w:val="none"/>
              </w:rPr>
              <w:t>二级（含）以上公路</w:t>
            </w:r>
            <w:r>
              <w:rPr>
                <w:rFonts w:hint="eastAsia" w:ascii="宋体" w:hAnsi="宋体" w:eastAsia="宋体" w:cs="宋体"/>
                <w:color w:val="auto"/>
                <w:sz w:val="21"/>
                <w:szCs w:val="21"/>
                <w:highlight w:val="none"/>
                <w:lang w:val="en-US" w:eastAsia="zh-CN"/>
              </w:rPr>
              <w:t>桥梁新、改扩建</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或危桥改造工程</w:t>
            </w:r>
            <w:r>
              <w:rPr>
                <w:rFonts w:hint="eastAsia" w:ascii="宋体" w:hAnsi="宋体" w:eastAsia="宋体" w:cs="宋体"/>
                <w:color w:val="auto"/>
                <w:sz w:val="21"/>
                <w:szCs w:val="21"/>
                <w:highlight w:val="none"/>
              </w:rPr>
              <w:t>施工的项目经理业绩加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分，最多加6分。</w:t>
            </w:r>
          </w:p>
        </w:tc>
      </w:tr>
      <w:tr w14:paraId="6A0668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15" w:hRule="atLeast"/>
          <w:jc w:val="center"/>
        </w:trPr>
        <w:tc>
          <w:tcPr>
            <w:tcW w:w="914" w:type="dxa"/>
            <w:vMerge w:val="continue"/>
            <w:tcBorders>
              <w:tl2br w:val="nil"/>
              <w:tr2bl w:val="nil"/>
            </w:tcBorders>
            <w:vAlign w:val="center"/>
          </w:tcPr>
          <w:p w14:paraId="44DE3F82">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A254676">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7231444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tcBorders>
              <w:tl2br w:val="nil"/>
              <w:tr2bl w:val="nil"/>
            </w:tcBorders>
            <w:vAlign w:val="center"/>
          </w:tcPr>
          <w:p w14:paraId="561B68D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p w14:paraId="66C4B13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855" w:type="dxa"/>
            <w:tcBorders>
              <w:tl2br w:val="nil"/>
              <w:tr2bl w:val="nil"/>
            </w:tcBorders>
            <w:vAlign w:val="center"/>
          </w:tcPr>
          <w:p w14:paraId="690CA093">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303" w:type="dxa"/>
            <w:tcBorders>
              <w:tl2br w:val="nil"/>
              <w:tr2bl w:val="nil"/>
            </w:tcBorders>
            <w:vAlign w:val="center"/>
          </w:tcPr>
          <w:p w14:paraId="36F28714">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满足最低资格审查条件要求，得6分。</w:t>
            </w:r>
          </w:p>
          <w:p w14:paraId="19ED1C0A">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在满足最低要求的基础上，每提供</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en-US" w:eastAsia="zh-CN"/>
              </w:rPr>
              <w:t>座</w:t>
            </w:r>
            <w:r>
              <w:rPr>
                <w:rFonts w:hint="eastAsia" w:ascii="宋体" w:hAnsi="宋体" w:eastAsia="宋体" w:cs="宋体"/>
                <w:color w:val="auto"/>
                <w:sz w:val="21"/>
                <w:szCs w:val="21"/>
                <w:highlight w:val="none"/>
              </w:rPr>
              <w:t>二级（含）以上公路</w:t>
            </w:r>
            <w:r>
              <w:rPr>
                <w:rFonts w:hint="eastAsia" w:ascii="宋体" w:hAnsi="宋体" w:eastAsia="宋体" w:cs="宋体"/>
                <w:color w:val="auto"/>
                <w:sz w:val="21"/>
                <w:szCs w:val="21"/>
                <w:highlight w:val="none"/>
                <w:lang w:val="en-US" w:eastAsia="zh-CN"/>
              </w:rPr>
              <w:t>桥梁新、改扩建</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或危桥改造工程</w:t>
            </w:r>
            <w:r>
              <w:rPr>
                <w:rFonts w:hint="eastAsia" w:ascii="宋体" w:hAnsi="宋体" w:eastAsia="宋体" w:cs="宋体"/>
                <w:color w:val="auto"/>
                <w:sz w:val="21"/>
                <w:szCs w:val="21"/>
                <w:highlight w:val="none"/>
              </w:rPr>
              <w:t>施工的项目总工业绩加</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分，最多加4分。</w:t>
            </w:r>
          </w:p>
        </w:tc>
      </w:tr>
      <w:tr w14:paraId="51EDD1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0086187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w:t>
            </w:r>
          </w:p>
        </w:tc>
        <w:tc>
          <w:tcPr>
            <w:tcW w:w="675" w:type="dxa"/>
            <w:vMerge w:val="restart"/>
            <w:tcBorders>
              <w:tl2br w:val="nil"/>
              <w:tr2bl w:val="nil"/>
            </w:tcBorders>
            <w:vAlign w:val="center"/>
          </w:tcPr>
          <w:p w14:paraId="0E8146CA">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tc>
        <w:tc>
          <w:tcPr>
            <w:tcW w:w="945" w:type="dxa"/>
            <w:vMerge w:val="restart"/>
            <w:tcBorders>
              <w:tl2br w:val="nil"/>
              <w:tr2bl w:val="nil"/>
            </w:tcBorders>
            <w:vAlign w:val="center"/>
          </w:tcPr>
          <w:p w14:paraId="4A72695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35分</w:t>
            </w:r>
          </w:p>
        </w:tc>
        <w:tc>
          <w:tcPr>
            <w:tcW w:w="1845" w:type="dxa"/>
            <w:vMerge w:val="restart"/>
            <w:tcBorders>
              <w:tl2br w:val="nil"/>
              <w:tr2bl w:val="nil"/>
            </w:tcBorders>
            <w:vAlign w:val="center"/>
          </w:tcPr>
          <w:p w14:paraId="2C8A5CC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企业业绩</w:t>
            </w:r>
          </w:p>
        </w:tc>
        <w:tc>
          <w:tcPr>
            <w:tcW w:w="855" w:type="dxa"/>
            <w:vMerge w:val="restart"/>
            <w:tcBorders>
              <w:tl2br w:val="nil"/>
              <w:tr2bl w:val="nil"/>
            </w:tcBorders>
            <w:vAlign w:val="center"/>
          </w:tcPr>
          <w:p w14:paraId="2DD72F7A">
            <w:pPr>
              <w:keepLines w:val="0"/>
              <w:kinsoku/>
              <w:wordWrap/>
              <w:overflowPunct/>
              <w:topLinePunct w:val="0"/>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20分</w:t>
            </w:r>
          </w:p>
        </w:tc>
        <w:tc>
          <w:tcPr>
            <w:tcW w:w="4303" w:type="dxa"/>
            <w:tcBorders>
              <w:tl2br w:val="nil"/>
              <w:tr2bl w:val="nil"/>
            </w:tcBorders>
            <w:vAlign w:val="center"/>
          </w:tcPr>
          <w:p w14:paraId="02AB6B14">
            <w:pPr>
              <w:keepLines w:val="0"/>
              <w:widowControl/>
              <w:kinsoku/>
              <w:wordWrap/>
              <w:overflowPunct/>
              <w:topLinePunct w:val="0"/>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投标人通过初步评审得12分。</w:t>
            </w:r>
          </w:p>
        </w:tc>
      </w:tr>
      <w:tr w14:paraId="07BAF8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769C719">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7EA678A1">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3F3D0F29">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shd w:val="clear" w:color="auto" w:fill="auto"/>
            <w:vAlign w:val="center"/>
          </w:tcPr>
          <w:p w14:paraId="73284F73">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855" w:type="dxa"/>
            <w:vMerge w:val="continue"/>
            <w:tcBorders>
              <w:tl2br w:val="nil"/>
              <w:tr2bl w:val="nil"/>
            </w:tcBorders>
            <w:shd w:val="clear" w:color="auto" w:fill="auto"/>
            <w:vAlign w:val="center"/>
          </w:tcPr>
          <w:p w14:paraId="3A4DD939">
            <w:pPr>
              <w:keepLines w:val="0"/>
              <w:kinsoku/>
              <w:wordWrap/>
              <w:overflowPunct/>
              <w:topLinePunct w:val="0"/>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4303" w:type="dxa"/>
            <w:tcBorders>
              <w:tl2br w:val="nil"/>
              <w:tr2bl w:val="nil"/>
            </w:tcBorders>
            <w:shd w:val="clear" w:color="auto" w:fill="auto"/>
            <w:vAlign w:val="center"/>
          </w:tcPr>
          <w:p w14:paraId="7A9076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近五年内（指2020年1月1日至投标截止时间，</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完成过</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en-US" w:eastAsia="zh-CN"/>
              </w:rPr>
              <w:t>座</w:t>
            </w:r>
            <w:r>
              <w:rPr>
                <w:rFonts w:hint="eastAsia" w:ascii="宋体" w:hAnsi="宋体" w:eastAsia="宋体" w:cs="宋体"/>
                <w:color w:val="auto"/>
                <w:sz w:val="21"/>
                <w:szCs w:val="21"/>
                <w:highlight w:val="none"/>
              </w:rPr>
              <w:t>二级（含）以上公路</w:t>
            </w:r>
            <w:r>
              <w:rPr>
                <w:rFonts w:hint="eastAsia" w:ascii="宋体" w:hAnsi="宋体" w:eastAsia="宋体" w:cs="宋体"/>
                <w:color w:val="auto"/>
                <w:sz w:val="21"/>
                <w:szCs w:val="21"/>
                <w:highlight w:val="none"/>
                <w:lang w:val="en-US" w:eastAsia="zh-CN"/>
              </w:rPr>
              <w:t>桥梁新、改扩建</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或危桥改造工程</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shd w:val="clear" w:color="auto" w:fill="FFFFFF"/>
                <w:lang w:val="en-US" w:eastAsia="zh-CN"/>
              </w:rPr>
              <w:t>加4</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358A4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注：联合体投标的，按照联合体牵头人的业绩数量计算。</w:t>
            </w:r>
          </w:p>
        </w:tc>
      </w:tr>
      <w:tr w14:paraId="19B165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65005F7">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4E9D3E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8BC14D5">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6BE9A312">
            <w:pPr>
              <w:keepLines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投标人的</w:t>
            </w:r>
          </w:p>
          <w:p w14:paraId="3394E4F5">
            <w:pPr>
              <w:keepLines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信用评价等级</w:t>
            </w:r>
          </w:p>
        </w:tc>
        <w:tc>
          <w:tcPr>
            <w:tcW w:w="855" w:type="dxa"/>
            <w:tcBorders>
              <w:tl2br w:val="nil"/>
              <w:tr2bl w:val="nil"/>
            </w:tcBorders>
            <w:vAlign w:val="center"/>
          </w:tcPr>
          <w:p w14:paraId="050FA35D">
            <w:pPr>
              <w:keepLines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303" w:type="dxa"/>
            <w:tcBorders>
              <w:tl2br w:val="nil"/>
              <w:tr2bl w:val="nil"/>
            </w:tcBorders>
            <w:vAlign w:val="center"/>
          </w:tcPr>
          <w:p w14:paraId="549D7559">
            <w:pPr>
              <w:keepLines w:val="0"/>
              <w:kinsoku/>
              <w:wordWrap/>
              <w:overflowPunct/>
              <w:topLinePunct w:val="0"/>
              <w:bidi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信用评价AA级，得15分。</w:t>
            </w:r>
          </w:p>
        </w:tc>
      </w:tr>
      <w:tr w14:paraId="454237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C0B2DD0">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4099D8A8">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40D1D7C">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0C62A9AE">
            <w:pPr>
              <w:keepLines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855" w:type="dxa"/>
            <w:tcBorders>
              <w:tl2br w:val="nil"/>
              <w:tr2bl w:val="nil"/>
            </w:tcBorders>
            <w:vAlign w:val="center"/>
          </w:tcPr>
          <w:p w14:paraId="2602324D">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4303" w:type="dxa"/>
            <w:tcBorders>
              <w:tl2br w:val="nil"/>
              <w:tr2bl w:val="nil"/>
            </w:tcBorders>
            <w:vAlign w:val="center"/>
          </w:tcPr>
          <w:p w14:paraId="0F915FBC">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信用评价A级，得12分。</w:t>
            </w:r>
          </w:p>
        </w:tc>
      </w:tr>
      <w:tr w14:paraId="738419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B3FD9B7">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0794119">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6E77EEBE">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01536AC1">
            <w:pPr>
              <w:keepLines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855" w:type="dxa"/>
            <w:tcBorders>
              <w:tl2br w:val="nil"/>
              <w:tr2bl w:val="nil"/>
            </w:tcBorders>
            <w:vAlign w:val="center"/>
          </w:tcPr>
          <w:p w14:paraId="3A21BD1F">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4303" w:type="dxa"/>
            <w:tcBorders>
              <w:tl2br w:val="nil"/>
              <w:tr2bl w:val="nil"/>
            </w:tcBorders>
            <w:vAlign w:val="center"/>
          </w:tcPr>
          <w:p w14:paraId="4659DE55">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信用评价B级，得9分。</w:t>
            </w:r>
          </w:p>
        </w:tc>
      </w:tr>
      <w:tr w14:paraId="11244F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45FD44A">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EC85304">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7CDBBC75">
            <w:pPr>
              <w:keepLines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5FAE5E51">
            <w:pPr>
              <w:keepLines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855" w:type="dxa"/>
            <w:tcBorders>
              <w:tl2br w:val="nil"/>
              <w:tr2bl w:val="nil"/>
            </w:tcBorders>
            <w:vAlign w:val="center"/>
          </w:tcPr>
          <w:p w14:paraId="1C5AFA51">
            <w:pPr>
              <w:keepLines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4303" w:type="dxa"/>
            <w:tcBorders>
              <w:tl2br w:val="nil"/>
              <w:tr2bl w:val="nil"/>
            </w:tcBorders>
            <w:vAlign w:val="center"/>
          </w:tcPr>
          <w:p w14:paraId="64E7B8CC">
            <w:pPr>
              <w:keepLines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信用评价C级，得6分。</w:t>
            </w:r>
          </w:p>
        </w:tc>
      </w:tr>
      <w:tr w14:paraId="335377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914" w:type="dxa"/>
            <w:vMerge w:val="continue"/>
            <w:tcBorders>
              <w:tl2br w:val="nil"/>
              <w:tr2bl w:val="nil"/>
            </w:tcBorders>
            <w:vAlign w:val="center"/>
          </w:tcPr>
          <w:p w14:paraId="6823587F">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1D7904A">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2841C074">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7003" w:type="dxa"/>
            <w:gridSpan w:val="3"/>
            <w:tcBorders>
              <w:tl2br w:val="nil"/>
              <w:tr2bl w:val="nil"/>
            </w:tcBorders>
            <w:vAlign w:val="center"/>
          </w:tcPr>
          <w:p w14:paraId="70C750F2">
            <w:pPr>
              <w:keepLines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注：信用评价等级优先采用以下所列</w:t>
            </w:r>
            <w:r>
              <w:rPr>
                <w:rFonts w:hint="eastAsia" w:ascii="宋体" w:hAnsi="宋体" w:eastAsia="宋体" w:cs="宋体"/>
                <w:color w:val="auto"/>
                <w:sz w:val="21"/>
                <w:szCs w:val="21"/>
                <w:highlight w:val="none"/>
                <w:lang w:val="en-US" w:eastAsia="zh-CN"/>
              </w:rPr>
              <w:t>顺序</w:t>
            </w:r>
            <w:r>
              <w:rPr>
                <w:rFonts w:hint="eastAsia" w:ascii="宋体" w:hAnsi="宋体" w:eastAsia="宋体" w:cs="宋体"/>
                <w:color w:val="auto"/>
                <w:sz w:val="21"/>
                <w:szCs w:val="21"/>
                <w:highlight w:val="none"/>
              </w:rPr>
              <w:t>在前的企业信用等级：</w:t>
            </w:r>
          </w:p>
          <w:p w14:paraId="064860BC">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1.采用《吉林省公路管理局202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年度普通干线公路养护工程施工企业信用评价结果公告》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含调整结果公告）</w:t>
            </w:r>
            <w:r>
              <w:rPr>
                <w:rFonts w:hint="eastAsia" w:ascii="宋体" w:hAnsi="宋体" w:eastAsia="宋体" w:cs="宋体"/>
                <w:color w:val="auto"/>
                <w:sz w:val="21"/>
                <w:szCs w:val="21"/>
                <w:highlight w:val="none"/>
              </w:rPr>
              <w:t>中的投标人信用评价等级。</w:t>
            </w:r>
          </w:p>
          <w:p w14:paraId="5440171E">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2.采用《吉林省公路管理局202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年度普通干线公路养护工程施工企业信用评价结果公告》中的投标人信用评价等级。</w:t>
            </w:r>
          </w:p>
          <w:p w14:paraId="2EB0263E">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3.企业无上述信用评价的，若未列入交通运输部“全国公路建设市场监督管理系统”中“不良信用记录”的，按A级对待，否则</w:t>
            </w:r>
            <w:r>
              <w:rPr>
                <w:rFonts w:hint="eastAsia" w:ascii="宋体" w:hAnsi="宋体" w:eastAsia="宋体" w:cs="宋体"/>
                <w:color w:val="auto"/>
                <w:sz w:val="21"/>
                <w:szCs w:val="21"/>
                <w:highlight w:val="none"/>
                <w:lang w:val="en-US" w:eastAsia="zh-CN"/>
              </w:rPr>
              <w:t>视其严重程度</w:t>
            </w:r>
            <w:r>
              <w:rPr>
                <w:rFonts w:hint="eastAsia" w:ascii="宋体" w:hAnsi="宋体" w:eastAsia="宋体" w:cs="宋体"/>
                <w:color w:val="auto"/>
                <w:sz w:val="21"/>
                <w:szCs w:val="21"/>
                <w:highlight w:val="none"/>
              </w:rPr>
              <w:t>按B级或以下等级对待。</w:t>
            </w:r>
          </w:p>
          <w:p w14:paraId="4AAF6AAA">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.以联合体形式投标的，其信用等级按照联合体中最低等级方认定。</w:t>
            </w:r>
          </w:p>
        </w:tc>
      </w:tr>
      <w:tr w14:paraId="06286E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9537" w:type="dxa"/>
            <w:gridSpan w:val="6"/>
            <w:tcBorders>
              <w:tl2br w:val="nil"/>
              <w:tr2bl w:val="nil"/>
            </w:tcBorders>
            <w:vAlign w:val="center"/>
          </w:tcPr>
          <w:p w14:paraId="461FAADC">
            <w:pPr>
              <w:keepLines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需要补充的其他内容：</w:t>
            </w:r>
            <w:r>
              <w:rPr>
                <w:rFonts w:hint="eastAsia" w:ascii="宋体" w:hAnsi="宋体" w:eastAsia="宋体" w:cs="宋体"/>
                <w:b/>
                <w:bCs/>
                <w:color w:val="auto"/>
                <w:sz w:val="21"/>
                <w:szCs w:val="21"/>
                <w:highlight w:val="none"/>
                <w:lang w:val="en-US" w:eastAsia="zh-CN"/>
              </w:rPr>
              <w:t>投标文件的施工组织设计部分采用“暗标”形式，如果施工组织设计出现能识别投标人的内容，经评标</w:t>
            </w:r>
            <w:r>
              <w:rPr>
                <w:rFonts w:hint="eastAsia" w:ascii="宋体" w:hAnsi="宋体" w:eastAsia="宋体" w:cs="宋体"/>
                <w:b/>
                <w:bCs/>
                <w:color w:val="auto"/>
                <w:sz w:val="21"/>
                <w:szCs w:val="21"/>
                <w:highlight w:val="none"/>
              </w:rPr>
              <w:t>委员会确定后，</w:t>
            </w:r>
            <w:r>
              <w:rPr>
                <w:rFonts w:hint="eastAsia" w:ascii="宋体" w:hAnsi="宋体" w:eastAsia="宋体" w:cs="宋体"/>
                <w:b/>
                <w:bCs/>
                <w:color w:val="auto"/>
                <w:sz w:val="21"/>
                <w:szCs w:val="21"/>
                <w:highlight w:val="none"/>
                <w:lang w:val="en-US" w:eastAsia="zh-CN"/>
              </w:rPr>
              <w:t>将</w:t>
            </w:r>
            <w:r>
              <w:rPr>
                <w:rFonts w:hint="eastAsia" w:ascii="宋体" w:hAnsi="宋体" w:eastAsia="宋体" w:cs="宋体"/>
                <w:b/>
                <w:bCs/>
                <w:color w:val="auto"/>
                <w:sz w:val="21"/>
                <w:szCs w:val="21"/>
                <w:highlight w:val="none"/>
              </w:rPr>
              <w:t>否决其投标。</w:t>
            </w:r>
          </w:p>
        </w:tc>
      </w:tr>
    </w:tbl>
    <w:p w14:paraId="3F722C74">
      <w:pPr>
        <w:keepLines w:val="0"/>
        <w:kinsoku/>
        <w:wordWrap/>
        <w:overflowPunct/>
        <w:topLinePunct w:val="0"/>
        <w:bidi w:val="0"/>
        <w:spacing w:line="360" w:lineRule="exact"/>
        <w:ind w:right="420"/>
        <w:jc w:val="left"/>
        <w:textAlignment w:val="auto"/>
        <w:rPr>
          <w:rFonts w:hint="eastAsia" w:ascii="宋体" w:hAnsi="宋体" w:eastAsia="宋体" w:cs="宋体"/>
          <w:b/>
          <w:sz w:val="21"/>
          <w:szCs w:val="21"/>
        </w:rPr>
      </w:pPr>
    </w:p>
    <w:p w14:paraId="4360F9F3">
      <w:pPr>
        <w:keepLines w:val="0"/>
        <w:kinsoku/>
        <w:wordWrap/>
        <w:overflowPunct/>
        <w:topLinePunct w:val="0"/>
        <w:bidi w:val="0"/>
        <w:spacing w:line="360" w:lineRule="exact"/>
        <w:ind w:right="420"/>
        <w:jc w:val="left"/>
        <w:textAlignment w:val="auto"/>
        <w:rPr>
          <w:rFonts w:hint="eastAsia" w:ascii="宋体" w:hAnsi="宋体" w:eastAsia="宋体" w:cs="宋体"/>
          <w:b/>
          <w:sz w:val="21"/>
          <w:szCs w:val="21"/>
        </w:rPr>
      </w:pPr>
      <w:r>
        <w:rPr>
          <w:rFonts w:hint="eastAsia" w:ascii="宋体" w:hAnsi="宋体" w:eastAsia="宋体" w:cs="宋体"/>
          <w:b/>
          <w:sz w:val="21"/>
          <w:szCs w:val="21"/>
        </w:rPr>
        <w:t>四、联系方式</w:t>
      </w:r>
    </w:p>
    <w:tbl>
      <w:tblPr>
        <w:tblStyle w:val="9"/>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460"/>
      </w:tblGrid>
      <w:tr w14:paraId="138B94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7A61C33A">
            <w:pPr>
              <w:keepLines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招 标 人：</w:t>
            </w:r>
            <w:r>
              <w:rPr>
                <w:rFonts w:hint="eastAsia" w:ascii="宋体" w:hAnsi="宋体" w:eastAsia="宋体" w:cs="宋体"/>
                <w:sz w:val="21"/>
                <w:szCs w:val="21"/>
              </w:rPr>
              <w:t>松原市公路服务中心</w:t>
            </w:r>
          </w:p>
        </w:tc>
      </w:tr>
      <w:tr w14:paraId="4BB074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6CBDE2BE">
            <w:pPr>
              <w:keepLines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地    址：</w:t>
            </w:r>
            <w:r>
              <w:rPr>
                <w:rFonts w:hint="eastAsia" w:ascii="宋体" w:hAnsi="宋体" w:eastAsia="宋体" w:cs="宋体"/>
                <w:sz w:val="21"/>
                <w:szCs w:val="21"/>
                <w:shd w:val="clear" w:color="auto" w:fill="FFFFFF"/>
              </w:rPr>
              <w:t>松原市宁江区沿江东路77号</w:t>
            </w:r>
          </w:p>
        </w:tc>
      </w:tr>
      <w:tr w14:paraId="0F63F6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4B6F7EE5">
            <w:pPr>
              <w:keepLines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邮    编：13</w:t>
            </w:r>
            <w:r>
              <w:rPr>
                <w:rFonts w:hint="eastAsia" w:ascii="宋体" w:hAnsi="宋体" w:eastAsia="宋体" w:cs="宋体"/>
                <w:kern w:val="0"/>
                <w:sz w:val="21"/>
                <w:szCs w:val="21"/>
                <w:lang w:bidi="zh-CN"/>
              </w:rPr>
              <w:t>8</w:t>
            </w:r>
            <w:r>
              <w:rPr>
                <w:rFonts w:hint="eastAsia" w:ascii="宋体" w:hAnsi="宋体" w:eastAsia="宋体" w:cs="宋体"/>
                <w:kern w:val="0"/>
                <w:sz w:val="21"/>
                <w:szCs w:val="21"/>
                <w:lang w:val="zh-CN" w:bidi="zh-CN"/>
              </w:rPr>
              <w:t>000</w:t>
            </w:r>
          </w:p>
        </w:tc>
      </w:tr>
      <w:tr w14:paraId="46BF12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08EEA866">
            <w:pPr>
              <w:keepLines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联 系 人：</w:t>
            </w:r>
            <w:r>
              <w:rPr>
                <w:rFonts w:hint="eastAsia" w:ascii="宋体" w:hAnsi="宋体" w:eastAsia="宋体" w:cs="宋体"/>
                <w:sz w:val="21"/>
                <w:szCs w:val="21"/>
                <w:shd w:val="clear" w:color="auto" w:fill="FFFFFF"/>
              </w:rPr>
              <w:t>王政通</w:t>
            </w:r>
          </w:p>
        </w:tc>
      </w:tr>
      <w:tr w14:paraId="228209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2B316F28">
            <w:pPr>
              <w:keepLines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电    话：</w:t>
            </w:r>
            <w:r>
              <w:rPr>
                <w:rFonts w:hint="eastAsia" w:ascii="宋体" w:hAnsi="宋体" w:eastAsia="宋体" w:cs="宋体"/>
                <w:sz w:val="21"/>
                <w:szCs w:val="21"/>
                <w:shd w:val="clear" w:color="auto" w:fill="FFFFFF"/>
              </w:rPr>
              <w:t>0438-6831347</w:t>
            </w:r>
          </w:p>
        </w:tc>
      </w:tr>
    </w:tbl>
    <w:p w14:paraId="71B087C4">
      <w:pPr>
        <w:spacing w:line="360" w:lineRule="exact"/>
        <w:rPr>
          <w:rFonts w:hint="eastAsia" w:ascii="宋体" w:hAnsi="宋体" w:eastAsia="宋体"/>
          <w:szCs w:val="21"/>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方正超粗黑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2AEC3B7E">
      <w:pPr>
        <w:pStyle w:val="8"/>
      </w:pPr>
      <w:r>
        <w:rPr>
          <w:rStyle w:val="11"/>
        </w:rPr>
        <w:footnoteRef/>
      </w:r>
      <w:r>
        <w:rPr>
          <w:rFonts w:hint="eastAsia"/>
        </w:rPr>
        <w:t>本款规定仅适用于根据《关于发布公路工程从业企业资质名录的通知》（厅公路字[2011]114号）要求，招标人应通过名录对投标人资质条件进行审核的公路施工企业。</w:t>
      </w:r>
    </w:p>
  </w:footnote>
  <w:footnote w:id="1">
    <w:p w14:paraId="4FAE817E">
      <w:pPr>
        <w:rPr>
          <w:sz w:val="18"/>
          <w:szCs w:val="18"/>
        </w:rPr>
      </w:pPr>
      <w:r>
        <w:rPr>
          <w:rStyle w:val="11"/>
        </w:rPr>
        <w:footnoteRef/>
      </w:r>
      <w:r>
        <w:rPr>
          <w:rFonts w:hint="eastAsia" w:ascii="宋体" w:hAnsi="宋体" w:cs="宋体"/>
          <w:kern w:val="0"/>
          <w:sz w:val="18"/>
          <w:szCs w:val="18"/>
          <w:lang w:val="zh-CN"/>
        </w:rPr>
        <w:t>本表所列人员不得互相兼职。</w:t>
      </w:r>
    </w:p>
  </w:footnote>
  <w:footnote w:id="2">
    <w:p w14:paraId="07B0EF9A">
      <w:pPr>
        <w:pStyle w:val="8"/>
      </w:pPr>
      <w:r>
        <w:rPr>
          <w:rStyle w:val="11"/>
        </w:rPr>
        <w:footnoteRef/>
      </w:r>
      <w:r>
        <w:rPr>
          <w:rFonts w:hint="eastAsia" w:ascii="BatangChe" w:hAnsi="BatangChe"/>
          <w:b w:val="0"/>
          <w:bCs/>
        </w:rPr>
        <w:t>“</w:t>
      </w:r>
      <w:r>
        <w:rPr>
          <w:rFonts w:hint="eastAsia" w:ascii="BatangChe" w:hAnsi="BatangChe"/>
          <w:b w:val="0"/>
          <w:bCs/>
          <w:spacing w:val="-6"/>
        </w:rPr>
        <w:t>投标人自有人员”</w:t>
      </w:r>
      <w:r>
        <w:rPr>
          <w:rFonts w:hint="eastAsia" w:ascii="BatangChe" w:hAnsi="BatangChe"/>
          <w:spacing w:val="-6"/>
        </w:rPr>
        <w:t>指</w:t>
      </w:r>
      <w:r>
        <w:t>社保缴费证明中</w:t>
      </w:r>
      <w:r>
        <w:rPr>
          <w:rFonts w:hint="eastAsia" w:ascii="宋体" w:hAnsi="宋体"/>
        </w:rPr>
        <w:t>缴费单位与投标人名称一致</w:t>
      </w:r>
      <w:r>
        <w:rPr>
          <w:rFonts w:hint="eastAsia" w:ascii="BatangChe" w:hAnsi="BatangChe"/>
          <w:spacing w:val="-6"/>
        </w:rPr>
        <w:t>。</w:t>
      </w:r>
    </w:p>
  </w:footnote>
  <w:footnote w:id="3">
    <w:p w14:paraId="43C1FFD1">
      <w:pPr>
        <w:pStyle w:val="8"/>
      </w:pPr>
      <w:r>
        <w:rPr>
          <w:rStyle w:val="11"/>
        </w:rPr>
        <w:footnoteRef/>
      </w:r>
      <w:r>
        <w:rPr>
          <w:rFonts w:hint="eastAsia" w:ascii="宋体" w:hAnsi="宋体" w:cs="宋体"/>
          <w:lang w:val="zh-CN"/>
        </w:rPr>
        <w:t>公路工程相关专业职称包括公路工程、桥梁工程、公路与桥梁工程、交通土建、隧道（地下结构）工程、交通工程等专业职称。如职称证上无专业，则以毕业证上的专业为准。</w:t>
      </w:r>
    </w:p>
  </w:footnote>
  <w:footnote w:id="4">
    <w:p w14:paraId="50A3A82B">
      <w:pPr>
        <w:pStyle w:val="8"/>
        <w:jc w:val="both"/>
        <w:rPr>
          <w:rFonts w:ascii="宋体" w:hAnsi="宋体"/>
        </w:rPr>
      </w:pPr>
      <w:r>
        <w:rPr>
          <w:rStyle w:val="11"/>
        </w:rPr>
        <w:footnoteRef/>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hint="eastAsia" w:ascii="宋体" w:hAnsi="宋体"/>
        </w:rPr>
        <w:t>除外）得分均不应低于其权重分值的60%，且各评分因素得分应以评标委员会各成员的打分平均值确定，</w:t>
      </w:r>
      <w:r>
        <w:rPr>
          <w:rFonts w:ascii="宋体" w:hAnsi="宋体"/>
        </w:rPr>
        <w:t>评</w:t>
      </w:r>
      <w:r>
        <w:rPr>
          <w:rFonts w:hint="eastAsia" w:ascii="宋体" w:hAnsi="宋体"/>
        </w:rPr>
        <w:t>标</w:t>
      </w:r>
      <w:r>
        <w:rPr>
          <w:rFonts w:ascii="宋体" w:hAnsi="宋体"/>
        </w:rPr>
        <w:t>委员会成员总数为七人以上时，该平均值以去掉</w:t>
      </w:r>
      <w:r>
        <w:rPr>
          <w:rFonts w:hint="eastAsia" w:ascii="宋体" w:hAnsi="宋体"/>
        </w:rPr>
        <w:t>一</w:t>
      </w:r>
      <w:r>
        <w:rPr>
          <w:rFonts w:ascii="宋体" w:hAnsi="宋体"/>
        </w:rPr>
        <w:t>个最高分和一个</w:t>
      </w:r>
      <w:r>
        <w:rPr>
          <w:rFonts w:hint="eastAsia" w:ascii="宋体" w:hAnsi="宋体"/>
        </w:rPr>
        <w:t>最</w:t>
      </w:r>
      <w:r>
        <w:rPr>
          <w:rFonts w:ascii="宋体" w:hAnsi="宋体"/>
        </w:rPr>
        <w:t>低分后计</w:t>
      </w:r>
      <w:r>
        <w:rPr>
          <w:rFonts w:hint="eastAsia" w:ascii="宋体" w:hAnsi="宋体"/>
        </w:rPr>
        <w:t>算。评标</w:t>
      </w:r>
      <w:r>
        <w:rPr>
          <w:rFonts w:ascii="宋体" w:hAnsi="宋体"/>
        </w:rPr>
        <w:t>委员会成员对某一项评分因</w:t>
      </w:r>
      <w:r>
        <w:rPr>
          <w:rFonts w:hint="eastAsia" w:ascii="宋体" w:hAnsi="宋体"/>
        </w:rPr>
        <w:t>素</w:t>
      </w:r>
      <w:r>
        <w:rPr>
          <w:rFonts w:ascii="宋体" w:hAnsi="宋体"/>
        </w:rPr>
        <w:t>的评分低于权重分值</w:t>
      </w:r>
      <w:r>
        <w:rPr>
          <w:rFonts w:hint="eastAsia" w:ascii="宋体" w:hAnsi="宋体"/>
        </w:rPr>
        <w:t>60%的，应</w:t>
      </w:r>
      <w:r>
        <w:rPr>
          <w:rFonts w:ascii="宋体" w:hAnsi="宋体"/>
        </w:rPr>
        <w:t>在评</w:t>
      </w:r>
      <w:r>
        <w:rPr>
          <w:rFonts w:hint="eastAsia" w:ascii="宋体" w:hAnsi="宋体"/>
        </w:rPr>
        <w:t>标</w:t>
      </w:r>
      <w:r>
        <w:rPr>
          <w:rFonts w:ascii="宋体" w:hAnsi="宋体"/>
        </w:rPr>
        <w:t>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E189C"/>
    <w:multiLevelType w:val="multilevel"/>
    <w:tmpl w:val="2AAE189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DF3414A"/>
    <w:multiLevelType w:val="multilevel"/>
    <w:tmpl w:val="3DF3414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4E5C20"/>
    <w:multiLevelType w:val="multilevel"/>
    <w:tmpl w:val="3F4E5C2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CC7692E"/>
    <w:multiLevelType w:val="multilevel"/>
    <w:tmpl w:val="6CC769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NmJhZWI0ZDJmODFjNDMwOTU5MGVmZDE2YzJmMjgifQ=="/>
  </w:docVars>
  <w:rsids>
    <w:rsidRoot w:val="00DE1914"/>
    <w:rsid w:val="00007D0D"/>
    <w:rsid w:val="000C7FFE"/>
    <w:rsid w:val="000D45D8"/>
    <w:rsid w:val="000E1AFA"/>
    <w:rsid w:val="00150308"/>
    <w:rsid w:val="0016649D"/>
    <w:rsid w:val="001B7C70"/>
    <w:rsid w:val="001C5264"/>
    <w:rsid w:val="001F4B00"/>
    <w:rsid w:val="001F767C"/>
    <w:rsid w:val="00250688"/>
    <w:rsid w:val="002B6B2C"/>
    <w:rsid w:val="00316C16"/>
    <w:rsid w:val="003171A3"/>
    <w:rsid w:val="0037455E"/>
    <w:rsid w:val="003C3184"/>
    <w:rsid w:val="003E1571"/>
    <w:rsid w:val="004E2E2F"/>
    <w:rsid w:val="00530DB1"/>
    <w:rsid w:val="00562C9D"/>
    <w:rsid w:val="005C0428"/>
    <w:rsid w:val="00643E44"/>
    <w:rsid w:val="006A39C9"/>
    <w:rsid w:val="006C28DA"/>
    <w:rsid w:val="0072686E"/>
    <w:rsid w:val="00786838"/>
    <w:rsid w:val="008715DB"/>
    <w:rsid w:val="00873F02"/>
    <w:rsid w:val="008E2951"/>
    <w:rsid w:val="008E6FE1"/>
    <w:rsid w:val="009A086D"/>
    <w:rsid w:val="009B01BC"/>
    <w:rsid w:val="009D3B6D"/>
    <w:rsid w:val="009F0C7F"/>
    <w:rsid w:val="00A73217"/>
    <w:rsid w:val="00AB197A"/>
    <w:rsid w:val="00AB5898"/>
    <w:rsid w:val="00B244F9"/>
    <w:rsid w:val="00B77B1E"/>
    <w:rsid w:val="00BB6447"/>
    <w:rsid w:val="00BE0105"/>
    <w:rsid w:val="00BF0284"/>
    <w:rsid w:val="00C15CD1"/>
    <w:rsid w:val="00C40C09"/>
    <w:rsid w:val="00C57909"/>
    <w:rsid w:val="00C95EF0"/>
    <w:rsid w:val="00CA2765"/>
    <w:rsid w:val="00CA3A18"/>
    <w:rsid w:val="00CC109B"/>
    <w:rsid w:val="00D43D36"/>
    <w:rsid w:val="00D57E3A"/>
    <w:rsid w:val="00DC39DC"/>
    <w:rsid w:val="00DE1914"/>
    <w:rsid w:val="00DF2D8E"/>
    <w:rsid w:val="00E16787"/>
    <w:rsid w:val="00E60763"/>
    <w:rsid w:val="00E7408A"/>
    <w:rsid w:val="00EA5385"/>
    <w:rsid w:val="00EB5C23"/>
    <w:rsid w:val="00F641C5"/>
    <w:rsid w:val="00F76FA4"/>
    <w:rsid w:val="00FC5FAE"/>
    <w:rsid w:val="00FD038E"/>
    <w:rsid w:val="00FD4A0A"/>
    <w:rsid w:val="00FF554C"/>
    <w:rsid w:val="04077BEF"/>
    <w:rsid w:val="093167F8"/>
    <w:rsid w:val="15134F89"/>
    <w:rsid w:val="4BA44460"/>
    <w:rsid w:val="5B0171D9"/>
    <w:rsid w:val="66233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26"/>
    <w:qFormat/>
    <w:uiPriority w:val="99"/>
    <w:pPr>
      <w:ind w:firstLine="1120" w:firstLineChars="400"/>
    </w:pPr>
    <w:rPr>
      <w:rFonts w:ascii="Times New Roman" w:hAnsi="Times New Roman" w:eastAsia="宋体" w:cs="Times New Roman"/>
      <w:sz w:val="28"/>
      <w:szCs w:val="24"/>
    </w:rPr>
  </w:style>
  <w:style w:type="paragraph" w:styleId="4">
    <w:name w:val="Body Text Indent 2"/>
    <w:basedOn w:val="1"/>
    <w:link w:val="27"/>
    <w:semiHidden/>
    <w:unhideWhenUsed/>
    <w:qFormat/>
    <w:uiPriority w:val="99"/>
    <w:pPr>
      <w:spacing w:after="120" w:line="480" w:lineRule="auto"/>
      <w:ind w:left="420" w:leftChars="200"/>
    </w:pPr>
  </w:style>
  <w:style w:type="paragraph" w:styleId="5">
    <w:name w:val="Plain Text"/>
    <w:basedOn w:val="1"/>
    <w:link w:val="28"/>
    <w:qFormat/>
    <w:uiPriority w:val="99"/>
    <w:rPr>
      <w:rFonts w:ascii="宋体" w:hAnsi="Courier New" w:eastAsia="宋体" w:cs="Times New Roman"/>
      <w:szCs w:val="21"/>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autoRedefine/>
    <w:unhideWhenUsed/>
    <w:qFormat/>
    <w:uiPriority w:val="0"/>
    <w:pPr>
      <w:snapToGrid w:val="0"/>
      <w:jc w:val="left"/>
    </w:pPr>
    <w:rPr>
      <w:rFonts w:ascii="Times New Roman" w:hAnsi="Times New Roman" w:eastAsia="宋体" w:cs="Times New Roman"/>
      <w:kern w:val="0"/>
      <w:sz w:val="18"/>
      <w:szCs w:val="18"/>
    </w:rPr>
  </w:style>
  <w:style w:type="character" w:styleId="11">
    <w:name w:val="footnote reference"/>
    <w:autoRedefine/>
    <w:qFormat/>
    <w:uiPriority w:val="0"/>
    <w:rPr>
      <w:vertAlign w:val="superscript"/>
    </w:rPr>
  </w:style>
  <w:style w:type="character" w:customStyle="1" w:styleId="12">
    <w:name w:val="其他_"/>
    <w:link w:val="13"/>
    <w:qFormat/>
    <w:uiPriority w:val="0"/>
    <w:rPr>
      <w:rFonts w:ascii="宋体" w:hAnsi="宋体" w:cs="宋体"/>
      <w:shd w:val="clear" w:color="auto" w:fill="FFFFFF"/>
      <w:lang w:val="zh-CN" w:bidi="zh-CN"/>
    </w:rPr>
  </w:style>
  <w:style w:type="paragraph" w:customStyle="1" w:styleId="13">
    <w:name w:val="其他"/>
    <w:basedOn w:val="1"/>
    <w:link w:val="12"/>
    <w:autoRedefine/>
    <w:qFormat/>
    <w:uiPriority w:val="0"/>
    <w:pPr>
      <w:shd w:val="clear" w:color="auto" w:fill="FFFFFF"/>
      <w:spacing w:line="430" w:lineRule="auto"/>
      <w:ind w:firstLine="400"/>
      <w:jc w:val="distribute"/>
    </w:pPr>
    <w:rPr>
      <w:rFonts w:ascii="宋体" w:hAnsi="宋体" w:cs="宋体"/>
      <w:lang w:val="zh-CN" w:bidi="zh-CN"/>
    </w:rPr>
  </w:style>
  <w:style w:type="character" w:customStyle="1" w:styleId="14">
    <w:name w:val="脚注文本 字符"/>
    <w:basedOn w:val="10"/>
    <w:link w:val="8"/>
    <w:qFormat/>
    <w:uiPriority w:val="0"/>
    <w:rPr>
      <w:rFonts w:ascii="Times New Roman" w:hAnsi="Times New Roman" w:eastAsia="宋体" w:cs="Times New Roman"/>
      <w:kern w:val="0"/>
      <w:sz w:val="18"/>
      <w:szCs w:val="18"/>
    </w:rPr>
  </w:style>
  <w:style w:type="character" w:customStyle="1" w:styleId="15">
    <w:name w:val="正文文本 (2)_"/>
    <w:link w:val="16"/>
    <w:autoRedefine/>
    <w:qFormat/>
    <w:uiPriority w:val="0"/>
    <w:rPr>
      <w:rFonts w:ascii="宋体" w:hAnsi="宋体" w:cs="宋体"/>
      <w:sz w:val="22"/>
      <w:shd w:val="clear" w:color="auto" w:fill="FFFFFF"/>
    </w:rPr>
  </w:style>
  <w:style w:type="paragraph" w:customStyle="1" w:styleId="16">
    <w:name w:val="正文文本 (2)"/>
    <w:basedOn w:val="1"/>
    <w:link w:val="15"/>
    <w:autoRedefine/>
    <w:qFormat/>
    <w:uiPriority w:val="0"/>
    <w:pPr>
      <w:shd w:val="clear" w:color="auto" w:fill="FFFFFF"/>
      <w:spacing w:before="300" w:line="439" w:lineRule="exact"/>
      <w:jc w:val="distribute"/>
    </w:pPr>
    <w:rPr>
      <w:rFonts w:ascii="宋体" w:hAnsi="宋体" w:cs="宋体"/>
      <w:sz w:val="22"/>
    </w:rPr>
  </w:style>
  <w:style w:type="paragraph" w:styleId="17">
    <w:name w:val="List Paragraph"/>
    <w:basedOn w:val="1"/>
    <w:qFormat/>
    <w:uiPriority w:val="34"/>
    <w:pPr>
      <w:ind w:firstLine="420" w:firstLineChars="200"/>
    </w:pPr>
    <w:rPr>
      <w:rFonts w:ascii="Times New Roman" w:hAnsi="Times New Roman" w:eastAsia="宋体" w:cs="Times New Roman"/>
    </w:rPr>
  </w:style>
  <w:style w:type="character" w:customStyle="1" w:styleId="18">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9">
    <w:name w:val="正文文本 (2) + 10 pt"/>
    <w:autoRedefine/>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0">
    <w:name w:val="正文文本 (2) + 9 pt"/>
    <w:autoRedefine/>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1">
    <w:name w:val="页眉 字符"/>
    <w:basedOn w:val="10"/>
    <w:link w:val="7"/>
    <w:qFormat/>
    <w:uiPriority w:val="99"/>
    <w:rPr>
      <w:sz w:val="18"/>
      <w:szCs w:val="18"/>
    </w:rPr>
  </w:style>
  <w:style w:type="character" w:customStyle="1" w:styleId="22">
    <w:name w:val="页脚 字符"/>
    <w:basedOn w:val="10"/>
    <w:link w:val="6"/>
    <w:autoRedefine/>
    <w:qFormat/>
    <w:uiPriority w:val="99"/>
    <w:rPr>
      <w:sz w:val="18"/>
      <w:szCs w:val="18"/>
    </w:rPr>
  </w:style>
  <w:style w:type="paragraph" w:customStyle="1" w:styleId="23">
    <w:name w:val="MSG_EN_FONT_STYLE_NAME_TEMPLATE_ROLE_NUMBER MSG_EN_FONT_STYLE_NAME_BY_ROLE_TEXT 131"/>
    <w:basedOn w:val="1"/>
    <w:link w:val="29"/>
    <w:autoRedefine/>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24">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5">
    <w:name w:val="MSG_EN_FONT_STYLE_NAME_TEMPLATE_ROLE_NUMBER MSG_EN_FONT_STYLE_NAME_BY_ROLE_TEXT 5"/>
    <w:basedOn w:val="1"/>
    <w:link w:val="30"/>
    <w:autoRedefine/>
    <w:qFormat/>
    <w:uiPriority w:val="0"/>
    <w:pPr>
      <w:shd w:val="clear" w:color="auto" w:fill="FFFFFF"/>
      <w:spacing w:before="5120" w:line="170" w:lineRule="exact"/>
      <w:jc w:val="left"/>
    </w:pPr>
    <w:rPr>
      <w:rFonts w:ascii="PMingLiU" w:hAnsi="PMingLiU" w:eastAsia="PMingLiU" w:cs="PMingLiU"/>
      <w:kern w:val="0"/>
      <w:sz w:val="17"/>
      <w:szCs w:val="17"/>
    </w:rPr>
  </w:style>
  <w:style w:type="character" w:customStyle="1" w:styleId="26">
    <w:name w:val="正文文本缩进 字符"/>
    <w:basedOn w:val="10"/>
    <w:link w:val="3"/>
    <w:qFormat/>
    <w:uiPriority w:val="99"/>
    <w:rPr>
      <w:rFonts w:ascii="Times New Roman" w:hAnsi="Times New Roman" w:eastAsia="宋体" w:cs="Times New Roman"/>
      <w:kern w:val="2"/>
      <w:sz w:val="28"/>
      <w:szCs w:val="24"/>
    </w:rPr>
  </w:style>
  <w:style w:type="character" w:customStyle="1" w:styleId="27">
    <w:name w:val="正文文本缩进 2 字符"/>
    <w:basedOn w:val="10"/>
    <w:link w:val="4"/>
    <w:semiHidden/>
    <w:uiPriority w:val="99"/>
    <w:rPr>
      <w:kern w:val="2"/>
      <w:sz w:val="21"/>
      <w:szCs w:val="22"/>
    </w:rPr>
  </w:style>
  <w:style w:type="character" w:customStyle="1" w:styleId="28">
    <w:name w:val="纯文本 字符"/>
    <w:basedOn w:val="10"/>
    <w:link w:val="5"/>
    <w:qFormat/>
    <w:uiPriority w:val="99"/>
    <w:rPr>
      <w:rFonts w:ascii="宋体" w:hAnsi="Courier New" w:eastAsia="宋体" w:cs="Times New Roman"/>
      <w:kern w:val="2"/>
      <w:sz w:val="21"/>
      <w:szCs w:val="21"/>
    </w:rPr>
  </w:style>
  <w:style w:type="character" w:customStyle="1" w:styleId="29">
    <w:name w:val="MSG_EN_FONT_STYLE_NAME_TEMPLATE_ROLE_NUMBER MSG_EN_FONT_STYLE_NAME_BY_ROLE_TEXT 13_"/>
    <w:link w:val="23"/>
    <w:qFormat/>
    <w:uiPriority w:val="0"/>
    <w:rPr>
      <w:rFonts w:ascii="PMingLiU" w:hAnsi="PMingLiU" w:eastAsia="PMingLiU" w:cs="PMingLiU"/>
      <w:shd w:val="clear" w:color="auto" w:fill="FFFFFF"/>
    </w:rPr>
  </w:style>
  <w:style w:type="character" w:customStyle="1" w:styleId="30">
    <w:name w:val="MSG_EN_FONT_STYLE_NAME_TEMPLATE_ROLE_NUMBER MSG_EN_FONT_STYLE_NAME_BY_ROLE_TEXT 5_"/>
    <w:link w:val="25"/>
    <w:qFormat/>
    <w:uiPriority w:val="0"/>
    <w:rPr>
      <w:rFonts w:ascii="PMingLiU" w:hAnsi="PMingLiU" w:eastAsia="PMingLiU" w:cs="PMingLiU"/>
      <w:sz w:val="17"/>
      <w:szCs w:val="17"/>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2050</Words>
  <Characters>2255</Characters>
  <Lines>251</Lines>
  <Paragraphs>278</Paragraphs>
  <TotalTime>1</TotalTime>
  <ScaleCrop>false</ScaleCrop>
  <LinksUpToDate>false</LinksUpToDate>
  <CharactersWithSpaces>2270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ASUS</cp:lastModifiedBy>
  <dcterms:modified xsi:type="dcterms:W3CDTF">2025-07-17T04:51:44Z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97B25FE1A566477186C8543FFB10435D_12</vt:lpwstr>
  </property>
  <property fmtid="{D5CDD505-2E9C-101B-9397-08002B2CF9AE}" pid="4" name="KSOTemplateDocerSaveRecord">
    <vt:lpwstr>eyJoZGlkIjoiZWEyZGQyZDIxYjdjNzVlYjVkM2EyZTg3MWQ0M2U4ODUiLCJ1c2VySWQiOiI0MzE5OTkyMDAifQ==</vt:lpwstr>
  </property>
</Properties>
</file>