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57019">
      <w:pPr>
        <w:keepLines w:val="0"/>
        <w:kinsoku/>
        <w:wordWrap/>
        <w:overflowPunct/>
        <w:topLinePunct w:val="0"/>
        <w:bidi w:val="0"/>
        <w:spacing w:line="360" w:lineRule="exact"/>
        <w:jc w:val="center"/>
        <w:textAlignment w:val="auto"/>
        <w:rPr>
          <w:rFonts w:hint="eastAsia" w:ascii="宋体" w:hAnsi="宋体" w:eastAsia="宋体" w:cs="宋体"/>
          <w:b/>
          <w:sz w:val="21"/>
          <w:szCs w:val="21"/>
          <w:lang w:val="en-US" w:eastAsia="zh-CN"/>
        </w:rPr>
      </w:pPr>
      <w:bookmarkStart w:id="0" w:name="_Hlk141166984"/>
      <w:r>
        <w:rPr>
          <w:rFonts w:hint="eastAsia" w:ascii="宋体" w:hAnsi="宋体" w:eastAsia="宋体" w:cs="宋体"/>
          <w:b/>
          <w:sz w:val="21"/>
          <w:szCs w:val="21"/>
          <w:lang w:val="en-US" w:eastAsia="zh-CN"/>
        </w:rPr>
        <w:t>长白山保护开发区2026年G331国道丹阿公路长白山市政路北侧止点至和平营子段和S304省道松露公路松露线与环山线分叉口至长白山管委会与白山抚松交界处段路面提质工程施工监理</w:t>
      </w:r>
    </w:p>
    <w:p w14:paraId="7DCFC9BD">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59D4677B">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28F15DC">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5C349C0C">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：见附录1</w:t>
            </w:r>
          </w:p>
          <w:p w14:paraId="40D44891">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10D9536">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3C2C3A7B">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总监理工程师资格：见附录4</w:t>
            </w:r>
          </w:p>
          <w:p w14:paraId="1F359C9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618FD225">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1A9F498F">
            <w:pPr>
              <w:keepLines w:val="0"/>
              <w:pageBreakBefore w:val="0"/>
              <w:widowControl/>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接受，联合体投标的，应满足下列要求：见第一章招标公告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5AD28A22">
            <w:pPr>
              <w:pStyle w:val="15"/>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694AF432">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6657B94">
            <w:pPr>
              <w:pStyle w:val="15"/>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031B60F5">
            <w:pPr>
              <w:pStyle w:val="15"/>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bl>
    <w:p w14:paraId="75FEE100">
      <w:pPr>
        <w:keepLines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rPr>
      </w:pPr>
      <w:bookmarkStart w:id="1" w:name="_Toc6800"/>
      <w:r>
        <w:rPr>
          <w:rFonts w:hint="eastAsia" w:ascii="宋体" w:hAnsi="宋体" w:eastAsia="宋体" w:cs="宋体"/>
          <w:b w:val="0"/>
          <w:bCs w:val="0"/>
          <w:color w:val="auto"/>
          <w:sz w:val="21"/>
          <w:szCs w:val="21"/>
          <w:highlight w:val="none"/>
        </w:rPr>
        <w:t>1.4投标人资格要求（适用于未进行资格预审的）</w:t>
      </w:r>
    </w:p>
    <w:p w14:paraId="3FB28FE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1.4.1投标人应具备承担本标段施工监理的资质条件、能力和信誉。</w:t>
      </w:r>
    </w:p>
    <w:p w14:paraId="1A01532D">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资质要求：见投标人须知前附表；</w:t>
      </w:r>
    </w:p>
    <w:p w14:paraId="63C07AF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1625934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07DDCA7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总监理工程师资格：见投标人须知前附表</w:t>
      </w:r>
      <w:r>
        <w:rPr>
          <w:rFonts w:hint="eastAsia" w:ascii="宋体" w:hAnsi="宋体" w:eastAsia="宋体" w:cs="宋体"/>
          <w:color w:val="auto"/>
          <w:sz w:val="21"/>
          <w:szCs w:val="21"/>
          <w:highlight w:val="none"/>
          <w:lang w:eastAsia="zh-CN"/>
        </w:rPr>
        <w:t>；</w:t>
      </w:r>
    </w:p>
    <w:p w14:paraId="5F2F941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64B0067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F39B78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2F0653C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2F9EDD2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12635B6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联合体各方不得再以自己名义单独或参加其他联合体在同一标段中投标；</w:t>
      </w:r>
    </w:p>
    <w:p w14:paraId="27B4D2A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7F1CCF22">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7363096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C6D919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为招标人不具有独立法人资格的附属机构（单位）；</w:t>
      </w:r>
    </w:p>
    <w:p w14:paraId="0763496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与招标人存在利害关系且可能影响招标公正性；</w:t>
      </w:r>
    </w:p>
    <w:p w14:paraId="17ECC24B">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与本标段的其他投标人同为一个单位负责人；</w:t>
      </w:r>
    </w:p>
    <w:p w14:paraId="5AE827F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与本标段的其他投标人存在控股、管理关系；</w:t>
      </w:r>
    </w:p>
    <w:p w14:paraId="7A0F477E">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为本标段的代建人；</w:t>
      </w:r>
    </w:p>
    <w:p w14:paraId="63F22DB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为本标段的招标代理机构；</w:t>
      </w:r>
    </w:p>
    <w:p w14:paraId="6CB10F9A">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（7）与本标段的代建人或招标代理机构同为一个法定代表人；</w:t>
      </w:r>
    </w:p>
    <w:p w14:paraId="3D23B26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（8）与本标段的代建人或招标代理机构存在控股或参股关系；</w:t>
      </w:r>
    </w:p>
    <w:p w14:paraId="4CC66FA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（9）与本标段对应工程的施工承包人以及建筑材料、建筑构配件和设备供应商有隶属关系或其他利害关系；</w:t>
      </w:r>
    </w:p>
    <w:p w14:paraId="59EC8490">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（10）法律法规或投标人须知前附表规定的其他情形。</w:t>
      </w:r>
    </w:p>
    <w:p w14:paraId="237C41B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1B2AAA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（1）被省级及以上交通运输主管部门取消招标项目所在地的投标资格且处于有效期内；</w:t>
      </w:r>
    </w:p>
    <w:p w14:paraId="690E4F6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（2）被责令停业，暂扣或吊销执照，或吊销资质证书；</w:t>
      </w:r>
    </w:p>
    <w:p w14:paraId="1D720D9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（3）进入清算程序，或被宣告破产，或其他丧失履约能力的情形；</w:t>
      </w:r>
    </w:p>
    <w:p w14:paraId="1F74A20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（4）在国家企业信用信息公示系统（http://www.gsxt.gov.cn/）中被列入严重违法失信企业名单；</w:t>
      </w:r>
    </w:p>
    <w:p w14:paraId="2CAEED9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（5）在“信用中国”网站（http://www.creditchina.gov.cn/）中被列入失信被执行人名单；</w:t>
      </w:r>
    </w:p>
    <w:p w14:paraId="7E44751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（6）投标人或其法定代表人、拟委任的总监理工程师在近三年内有行贿犯罪行为的；</w:t>
      </w:r>
    </w:p>
    <w:p w14:paraId="0AE5953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（7）法律法规或投标人须知前附表规定的其他情形。</w:t>
      </w:r>
    </w:p>
    <w:p w14:paraId="245F5011">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”中的公路工程施工监理资质企业名录，且投标人名称和资质与该名录中的相应企业名称和资质完全一致。投标人不满足本项规定条件的，将被否决投标。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0F12B2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1"/>
    <w:p w14:paraId="3F46BE18">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2" w:name="_Toc11018"/>
      <w:r>
        <w:rPr>
          <w:rFonts w:hint="eastAsia" w:ascii="宋体" w:hAnsi="宋体" w:eastAsia="宋体" w:cs="宋体"/>
          <w:b/>
          <w:sz w:val="21"/>
          <w:szCs w:val="21"/>
          <w:highlight w:val="none"/>
        </w:rPr>
        <w:t>附录1资格审查条件（资质最低要求）</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8196"/>
      </w:tblGrid>
      <w:tr w14:paraId="4A91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0" w:type="dxa"/>
            <w:tcBorders>
              <w:top w:val="single" w:color="auto" w:sz="12" w:space="0"/>
              <w:left w:val="single" w:color="auto" w:sz="12" w:space="0"/>
            </w:tcBorders>
            <w:vAlign w:val="center"/>
          </w:tcPr>
          <w:p w14:paraId="17F76454">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196" w:type="dxa"/>
            <w:tcBorders>
              <w:top w:val="single" w:color="auto" w:sz="12" w:space="0"/>
              <w:right w:val="single" w:color="auto" w:sz="12" w:space="0"/>
            </w:tcBorders>
            <w:vAlign w:val="center"/>
          </w:tcPr>
          <w:p w14:paraId="08D0BA8B">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监理企业资质等级要求</w:t>
            </w:r>
          </w:p>
        </w:tc>
      </w:tr>
      <w:tr w14:paraId="5B5A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320" w:type="dxa"/>
            <w:tcBorders>
              <w:left w:val="single" w:color="auto" w:sz="12" w:space="0"/>
              <w:bottom w:val="single" w:color="auto" w:sz="12" w:space="0"/>
            </w:tcBorders>
            <w:vAlign w:val="center"/>
          </w:tcPr>
          <w:p w14:paraId="3B92B7A6">
            <w:pPr>
              <w:pStyle w:val="6"/>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CBS</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JL01</w:t>
            </w:r>
          </w:p>
        </w:tc>
        <w:tc>
          <w:tcPr>
            <w:tcW w:w="8196" w:type="dxa"/>
            <w:tcBorders>
              <w:bottom w:val="single" w:color="auto" w:sz="12" w:space="0"/>
              <w:right w:val="single" w:color="auto" w:sz="12" w:space="0"/>
            </w:tcBorders>
            <w:vAlign w:val="center"/>
          </w:tcPr>
          <w:p w14:paraId="6E5BCB93">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的公路工程监理企业甲级或乙级资质；</w:t>
            </w:r>
          </w:p>
          <w:p w14:paraId="4CD11760">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公路工程</w:t>
            </w:r>
            <w:r>
              <w:rPr>
                <w:rFonts w:hint="eastAsia" w:ascii="宋体" w:hAnsi="宋体" w:eastAsia="宋体" w:cs="宋体"/>
                <w:color w:val="auto"/>
                <w:sz w:val="21"/>
                <w:szCs w:val="21"/>
                <w:highlight w:val="none"/>
                <w:lang w:val="en-US" w:eastAsia="zh-CN"/>
              </w:rPr>
              <w:t>监理企业</w:t>
            </w:r>
            <w:r>
              <w:rPr>
                <w:rFonts w:hint="eastAsia" w:ascii="宋体" w:hAnsi="宋体" w:eastAsia="宋体" w:cs="宋体"/>
                <w:color w:val="auto"/>
                <w:sz w:val="21"/>
                <w:szCs w:val="21"/>
                <w:highlight w:val="none"/>
                <w:lang w:eastAsia="zh-CN"/>
              </w:rPr>
              <w:t>机电专项监理资质；</w:t>
            </w:r>
          </w:p>
          <w:p w14:paraId="3BFF7DD6">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）具备（或其下属非独立法人机构具备）交通运输主管部门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rPr>
              <w:t>工程质量检测机构</w:t>
            </w:r>
            <w:r>
              <w:rPr>
                <w:rFonts w:hint="eastAsia" w:ascii="宋体" w:hAnsi="宋体" w:eastAsia="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rPr>
              <w:t>甲级或乙级资质</w:t>
            </w:r>
            <w:r>
              <w:rPr>
                <w:rFonts w:hint="eastAsia" w:ascii="宋体" w:hAnsi="宋体" w:eastAsia="宋体" w:cs="宋体"/>
                <w:color w:val="auto"/>
                <w:sz w:val="21"/>
                <w:szCs w:val="21"/>
                <w:highlight w:val="none"/>
                <w:lang w:eastAsia="zh-CN"/>
              </w:rPr>
              <w:t>。</w:t>
            </w:r>
          </w:p>
        </w:tc>
      </w:tr>
    </w:tbl>
    <w:p w14:paraId="3368D0E6">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3" w:name="_Toc21746"/>
      <w:r>
        <w:rPr>
          <w:rFonts w:hint="eastAsia" w:ascii="宋体" w:hAnsi="宋体" w:eastAsia="宋体" w:cs="宋体"/>
          <w:b/>
          <w:sz w:val="21"/>
          <w:szCs w:val="21"/>
          <w:highlight w:val="none"/>
        </w:rPr>
        <w:t>附录2资格审查条件（业绩最低要求）</w:t>
      </w:r>
      <w:bookmarkEnd w:id="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0E53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701C7223">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39B3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7BDBC8CF">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3BA5EA76">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4" w:name="_Toc27971"/>
      <w:r>
        <w:rPr>
          <w:rFonts w:hint="eastAsia" w:ascii="宋体" w:hAnsi="宋体" w:eastAsia="宋体" w:cs="宋体"/>
          <w:b/>
          <w:sz w:val="21"/>
          <w:szCs w:val="21"/>
          <w:highlight w:val="none"/>
        </w:rPr>
        <w:t>附录3资格审查条件（信誉最低要求）</w:t>
      </w:r>
      <w:bookmarkEnd w:id="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64C4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7207F64">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2359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4F4BA07F">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29F556C0">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5" w:name="_Toc411418983"/>
      <w:bookmarkStart w:id="6" w:name="_Toc3938"/>
      <w:bookmarkStart w:id="7" w:name="_Toc346800722"/>
      <w:r>
        <w:rPr>
          <w:rFonts w:hint="eastAsia" w:ascii="宋体" w:hAnsi="宋体" w:eastAsia="宋体" w:cs="宋体"/>
          <w:b/>
          <w:sz w:val="21"/>
          <w:szCs w:val="21"/>
          <w:highlight w:val="none"/>
        </w:rPr>
        <w:t>附录4资格审查条件（总监理工程师最低要求）</w:t>
      </w:r>
      <w:bookmarkEnd w:id="5"/>
      <w:bookmarkEnd w:id="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29"/>
        <w:gridCol w:w="4666"/>
        <w:gridCol w:w="2378"/>
      </w:tblGrid>
      <w:tr w14:paraId="4212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12" w:space="0"/>
              <w:left w:val="single" w:color="auto" w:sz="12" w:space="0"/>
            </w:tcBorders>
            <w:vAlign w:val="center"/>
          </w:tcPr>
          <w:p w14:paraId="6267FEC7">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229" w:type="dxa"/>
            <w:tcBorders>
              <w:top w:val="single" w:color="auto" w:sz="12" w:space="0"/>
            </w:tcBorders>
            <w:vAlign w:val="center"/>
          </w:tcPr>
          <w:p w14:paraId="2B905A1F">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4666" w:type="dxa"/>
            <w:tcBorders>
              <w:top w:val="single" w:color="auto" w:sz="12" w:space="0"/>
              <w:right w:val="single" w:color="auto" w:sz="4" w:space="0"/>
            </w:tcBorders>
            <w:vAlign w:val="center"/>
          </w:tcPr>
          <w:p w14:paraId="0718DAC4">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2378" w:type="dxa"/>
            <w:tcBorders>
              <w:top w:val="single" w:color="auto" w:sz="12" w:space="0"/>
              <w:left w:val="single" w:color="auto" w:sz="4" w:space="0"/>
              <w:right w:val="single" w:color="auto" w:sz="12" w:space="0"/>
            </w:tcBorders>
            <w:vAlign w:val="center"/>
          </w:tcPr>
          <w:p w14:paraId="66867502">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在岗要求</w:t>
            </w:r>
          </w:p>
        </w:tc>
      </w:tr>
      <w:tr w14:paraId="52AE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left w:val="single" w:color="auto" w:sz="12" w:space="0"/>
              <w:bottom w:val="single" w:color="auto" w:sz="12" w:space="0"/>
            </w:tcBorders>
            <w:vAlign w:val="center"/>
          </w:tcPr>
          <w:p w14:paraId="752D8EC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w:t>
            </w:r>
          </w:p>
          <w:p w14:paraId="3C3AEE5B">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工程师</w:t>
            </w:r>
          </w:p>
        </w:tc>
        <w:tc>
          <w:tcPr>
            <w:tcW w:w="1229" w:type="dxa"/>
            <w:tcBorders>
              <w:bottom w:val="single" w:color="auto" w:sz="12" w:space="0"/>
            </w:tcBorders>
            <w:vAlign w:val="center"/>
          </w:tcPr>
          <w:p w14:paraId="59B568C4">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666" w:type="dxa"/>
            <w:tcBorders>
              <w:top w:val="single" w:color="auto" w:sz="8" w:space="0"/>
              <w:bottom w:val="single" w:color="auto" w:sz="12" w:space="0"/>
              <w:right w:val="single" w:color="auto" w:sz="4" w:space="0"/>
            </w:tcBorders>
            <w:vAlign w:val="center"/>
          </w:tcPr>
          <w:p w14:paraId="175D6559">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（1）投标人（联合体投标的，指联合体牵头人）</w:t>
            </w:r>
            <w:r>
              <w:rPr>
                <w:rFonts w:hint="eastAsia" w:ascii="宋体" w:hAnsi="宋体" w:eastAsia="宋体" w:cs="宋体"/>
                <w:b/>
                <w:sz w:val="21"/>
                <w:szCs w:val="21"/>
                <w:highlight w:val="none"/>
              </w:rPr>
              <w:t>自有</w:t>
            </w:r>
            <w:r>
              <w:rPr>
                <w:rFonts w:hint="eastAsia" w:ascii="宋体" w:hAnsi="宋体" w:eastAsia="宋体" w:cs="宋体"/>
                <w:sz w:val="21"/>
                <w:szCs w:val="21"/>
                <w:highlight w:val="none"/>
              </w:rPr>
              <w:t>人员</w:t>
            </w:r>
            <w:r>
              <w:rPr>
                <w:rStyle w:val="13"/>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5E392325">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相关专业</w:t>
            </w:r>
            <w:r>
              <w:rPr>
                <w:rStyle w:val="13"/>
                <w:rFonts w:hint="eastAsia" w:ascii="宋体" w:hAnsi="宋体" w:eastAsia="宋体" w:cs="宋体"/>
                <w:sz w:val="21"/>
                <w:szCs w:val="21"/>
                <w:highlight w:val="none"/>
              </w:rPr>
              <w:footnoteReference w:id="2"/>
            </w:r>
            <w:r>
              <w:rPr>
                <w:rFonts w:hint="eastAsia" w:ascii="宋体" w:hAnsi="宋体" w:eastAsia="宋体" w:cs="宋体"/>
                <w:b/>
                <w:sz w:val="21"/>
                <w:szCs w:val="21"/>
                <w:highlight w:val="none"/>
              </w:rPr>
              <w:t>高级</w:t>
            </w:r>
            <w:r>
              <w:rPr>
                <w:rFonts w:hint="eastAsia" w:ascii="宋体" w:hAnsi="宋体" w:eastAsia="宋体" w:cs="宋体"/>
                <w:b w:val="0"/>
                <w:bCs/>
                <w:sz w:val="21"/>
                <w:szCs w:val="21"/>
                <w:highlight w:val="none"/>
                <w:lang w:val="en-US" w:eastAsia="zh-CN"/>
              </w:rPr>
              <w:t>职称</w:t>
            </w:r>
            <w:r>
              <w:rPr>
                <w:rFonts w:hint="eastAsia" w:ascii="宋体" w:hAnsi="宋体" w:eastAsia="宋体" w:cs="宋体"/>
                <w:sz w:val="21"/>
                <w:szCs w:val="21"/>
                <w:highlight w:val="none"/>
              </w:rPr>
              <w:t>；</w:t>
            </w:r>
          </w:p>
          <w:p w14:paraId="1F11B73E">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（3）具有公路工程监理工程师</w:t>
            </w:r>
            <w:r>
              <w:rPr>
                <w:rFonts w:hint="eastAsia" w:ascii="宋体" w:hAnsi="宋体" w:eastAsia="宋体" w:cs="宋体"/>
                <w:sz w:val="21"/>
                <w:szCs w:val="21"/>
                <w:highlight w:val="none"/>
                <w:lang w:val="en-US" w:eastAsia="zh-CN"/>
              </w:rPr>
              <w:t>注册</w:t>
            </w:r>
            <w:r>
              <w:rPr>
                <w:rFonts w:hint="eastAsia" w:ascii="宋体" w:hAnsi="宋体" w:eastAsia="宋体" w:cs="宋体"/>
                <w:sz w:val="21"/>
                <w:szCs w:val="21"/>
                <w:highlight w:val="none"/>
              </w:rPr>
              <w:t>证书。</w:t>
            </w:r>
          </w:p>
        </w:tc>
        <w:tc>
          <w:tcPr>
            <w:tcW w:w="2378" w:type="dxa"/>
            <w:tcBorders>
              <w:top w:val="single" w:color="auto" w:sz="8" w:space="0"/>
              <w:left w:val="single" w:color="auto" w:sz="4" w:space="0"/>
              <w:bottom w:val="single" w:color="auto" w:sz="12" w:space="0"/>
              <w:right w:val="single" w:color="auto" w:sz="12" w:space="0"/>
            </w:tcBorders>
            <w:vAlign w:val="center"/>
          </w:tcPr>
          <w:p w14:paraId="3BBA6992">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无在岗项目（指目前未在其他项目上任职，或虽在其他项目上任职但本项目中标后能够从该项目撤离）</w:t>
            </w:r>
          </w:p>
        </w:tc>
      </w:tr>
      <w:bookmarkEnd w:id="7"/>
    </w:tbl>
    <w:p w14:paraId="0FDCC598">
      <w:pPr>
        <w:keepNext w:val="0"/>
        <w:keepLines w:val="0"/>
        <w:pageBreakBefore/>
        <w:widowControl w:val="0"/>
        <w:kinsoku/>
        <w:wordWrap/>
        <w:overflowPunct/>
        <w:topLinePunct w:val="0"/>
        <w:autoSpaceDE/>
        <w:autoSpaceDN/>
        <w:bidi w:val="0"/>
        <w:adjustRightInd w:val="0"/>
        <w:snapToGrid w:val="0"/>
        <w:spacing w:beforeLines="100" w:after="273" w:afterLines="100" w:line="360" w:lineRule="exact"/>
        <w:jc w:val="center"/>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评标办法（综合评估法）</w:t>
      </w:r>
    </w:p>
    <w:p w14:paraId="040B7C89">
      <w:pPr>
        <w:keepLines w:val="0"/>
        <w:kinsoku/>
        <w:wordWrap/>
        <w:overflowPunct/>
        <w:topLinePunct w:val="0"/>
        <w:bidi w:val="0"/>
        <w:spacing w:line="360" w:lineRule="exact"/>
        <w:textAlignment w:val="auto"/>
        <w:outlineLvl w:val="1"/>
        <w:rPr>
          <w:rFonts w:hint="eastAsia" w:ascii="宋体" w:hAnsi="宋体" w:eastAsia="宋体" w:cs="宋体"/>
          <w:b/>
          <w:sz w:val="21"/>
          <w:szCs w:val="21"/>
          <w:highlight w:val="none"/>
        </w:rPr>
      </w:pPr>
      <w:bookmarkStart w:id="8" w:name="_Toc3536"/>
      <w:r>
        <w:rPr>
          <w:rFonts w:hint="eastAsia" w:ascii="宋体" w:hAnsi="宋体" w:eastAsia="宋体" w:cs="宋体"/>
          <w:b/>
          <w:sz w:val="21"/>
          <w:szCs w:val="21"/>
          <w:highlight w:val="none"/>
        </w:rPr>
        <w:t>评标办法前附表</w:t>
      </w:r>
      <w:bookmarkEnd w:id="8"/>
    </w:p>
    <w:tbl>
      <w:tblPr>
        <w:tblStyle w:val="11"/>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27"/>
        <w:gridCol w:w="7076"/>
      </w:tblGrid>
      <w:tr w14:paraId="67FDC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2486" w:type="dxa"/>
            <w:gridSpan w:val="2"/>
            <w:shd w:val="clear" w:color="auto" w:fill="auto"/>
            <w:vAlign w:val="center"/>
          </w:tcPr>
          <w:p w14:paraId="30E29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条款号</w:t>
            </w:r>
          </w:p>
        </w:tc>
        <w:tc>
          <w:tcPr>
            <w:tcW w:w="7076" w:type="dxa"/>
            <w:shd w:val="clear" w:color="auto" w:fill="auto"/>
            <w:vAlign w:val="center"/>
          </w:tcPr>
          <w:p w14:paraId="0EDB9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评审因素与评审标准</w:t>
            </w:r>
          </w:p>
        </w:tc>
      </w:tr>
      <w:tr w14:paraId="0E23E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D3D4D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27" w:type="dxa"/>
            <w:shd w:val="clear" w:color="auto" w:fill="auto"/>
            <w:vAlign w:val="center"/>
          </w:tcPr>
          <w:p w14:paraId="003089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评标方法</w:t>
            </w:r>
          </w:p>
        </w:tc>
        <w:tc>
          <w:tcPr>
            <w:tcW w:w="7076" w:type="dxa"/>
            <w:shd w:val="clear" w:color="auto" w:fill="auto"/>
          </w:tcPr>
          <w:p w14:paraId="6A2A60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lang w:eastAsia="zh-CN"/>
              </w:rPr>
              <w:t>综合评分相等时，评标委员会依次按照以下优先顺序推荐中标候选人：</w:t>
            </w:r>
          </w:p>
          <w:p w14:paraId="067590CF">
            <w:pPr>
              <w:keepNext w:val="0"/>
              <w:keepLines w:val="0"/>
              <w:pageBreakBefore w:val="0"/>
              <w:widowControl w:val="0"/>
              <w:tabs>
                <w:tab w:val="left" w:pos="107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Style w:val="34"/>
                <w:rFonts w:hint="eastAsia" w:ascii="宋体" w:hAnsi="宋体" w:eastAsia="宋体" w:cs="宋体"/>
                <w:sz w:val="21"/>
                <w:szCs w:val="21"/>
                <w:highlight w:val="none"/>
                <w:lang w:eastAsia="zh-CN"/>
              </w:rPr>
              <w:t>评标价低的投标人优先；</w:t>
            </w:r>
          </w:p>
          <w:p w14:paraId="3A128A03">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shd w:val="clear" w:color="auto" w:fill="FFFFFF"/>
                <w:lang w:bidi="en-US"/>
              </w:rPr>
              <w:t>信用评价得分较高的投标人优先</w:t>
            </w:r>
            <w:r>
              <w:rPr>
                <w:rFonts w:hint="eastAsia" w:ascii="宋体" w:hAnsi="宋体" w:eastAsia="宋体" w:cs="宋体"/>
                <w:sz w:val="21"/>
                <w:szCs w:val="21"/>
                <w:highlight w:val="none"/>
              </w:rPr>
              <w:t>；</w:t>
            </w:r>
          </w:p>
          <w:p w14:paraId="3F0BFB8E">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Style w:val="34"/>
                <w:rFonts w:hint="eastAsia" w:ascii="宋体" w:hAnsi="宋体" w:eastAsia="宋体" w:cs="宋体"/>
                <w:sz w:val="21"/>
                <w:szCs w:val="21"/>
                <w:highlight w:val="none"/>
                <w:lang w:eastAsia="zh-CN"/>
              </w:rPr>
              <w:t>人员得分较高的投标人优先；</w:t>
            </w:r>
          </w:p>
          <w:p w14:paraId="4315CB73">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（4）评标委员会投票表决。</w:t>
            </w:r>
          </w:p>
        </w:tc>
      </w:tr>
      <w:tr w14:paraId="0A616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73463D5B">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Style w:val="34"/>
                <w:rFonts w:hint="eastAsia" w:ascii="宋体" w:hAnsi="宋体" w:eastAsia="宋体" w:cs="宋体"/>
                <w:sz w:val="21"/>
                <w:szCs w:val="21"/>
                <w:highlight w:val="none"/>
                <w:lang w:eastAsia="zh-CN"/>
              </w:rPr>
            </w:pPr>
            <w:r>
              <w:rPr>
                <w:rStyle w:val="34"/>
                <w:rFonts w:hint="eastAsia" w:ascii="宋体" w:hAnsi="宋体" w:eastAsia="宋体" w:cs="宋体"/>
                <w:sz w:val="21"/>
                <w:szCs w:val="21"/>
                <w:highlight w:val="none"/>
              </w:rPr>
              <w:t>2.1.2</w:t>
            </w:r>
          </w:p>
          <w:p w14:paraId="61B29011">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color w:val="000000"/>
                <w:sz w:val="21"/>
                <w:szCs w:val="21"/>
                <w:highlight w:val="none"/>
                <w:shd w:val="clear" w:color="auto" w:fill="FFFFFF"/>
                <w:lang w:bidi="en-US"/>
              </w:rPr>
            </w:pPr>
            <w:r>
              <w:rPr>
                <w:rStyle w:val="34"/>
                <w:rFonts w:hint="eastAsia" w:ascii="宋体" w:hAnsi="宋体" w:eastAsia="宋体" w:cs="宋体"/>
                <w:sz w:val="21"/>
                <w:szCs w:val="21"/>
                <w:highlight w:val="none"/>
              </w:rPr>
              <w:t>2.1.</w:t>
            </w:r>
            <w:r>
              <w:rPr>
                <w:rStyle w:val="34"/>
                <w:rFonts w:hint="eastAsia" w:ascii="宋体" w:hAnsi="宋体" w:eastAsia="宋体" w:cs="宋体"/>
                <w:sz w:val="21"/>
                <w:szCs w:val="21"/>
                <w:highlight w:val="none"/>
                <w:lang w:eastAsia="zh-CN"/>
              </w:rPr>
              <w:t>3</w:t>
            </w:r>
          </w:p>
        </w:tc>
        <w:tc>
          <w:tcPr>
            <w:tcW w:w="1527" w:type="dxa"/>
            <w:shd w:val="clear" w:color="auto" w:fill="auto"/>
            <w:vAlign w:val="center"/>
          </w:tcPr>
          <w:p w14:paraId="22751E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第一信封</w:t>
            </w:r>
          </w:p>
          <w:p w14:paraId="0A928E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47A9D9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zh-TW"/>
              </w:rPr>
            </w:pPr>
            <w:r>
              <w:rPr>
                <w:rFonts w:hint="eastAsia" w:ascii="宋体" w:hAnsi="宋体" w:eastAsia="宋体" w:cs="宋体"/>
                <w:b/>
                <w:bCs/>
                <w:sz w:val="21"/>
                <w:szCs w:val="21"/>
                <w:highlight w:val="none"/>
                <w:lang w:bidi="zh-TW"/>
              </w:rPr>
              <w:t>第一个信封（商务及技术文件）评审标准：</w:t>
            </w:r>
          </w:p>
          <w:p w14:paraId="1D89C35C">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（1）投标文件按照招标文件规定的格式、内容填写，字迹清晰可辨：</w:t>
            </w:r>
          </w:p>
          <w:p w14:paraId="3A3C7531">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a.投标函按招标文件规定填报了项目名称、标段号、补遗书编号（如有</w:t>
            </w:r>
            <w:r>
              <w:rPr>
                <w:rFonts w:hint="eastAsia" w:ascii="宋体" w:hAnsi="宋体" w:eastAsia="宋体" w:cs="宋体"/>
                <w:sz w:val="21"/>
                <w:szCs w:val="21"/>
                <w:highlight w:val="none"/>
                <w:lang w:eastAsia="zh-CN" w:bidi="zh-TW"/>
              </w:rPr>
              <w:t>）</w:t>
            </w:r>
            <w:r>
              <w:rPr>
                <w:rFonts w:hint="eastAsia" w:ascii="宋体" w:hAnsi="宋体" w:eastAsia="宋体" w:cs="宋体"/>
                <w:sz w:val="21"/>
                <w:szCs w:val="21"/>
                <w:highlight w:val="none"/>
                <w:lang w:bidi="zh-TW"/>
              </w:rPr>
              <w:t>、监理服务期限、工程质量要求及安全目标；</w:t>
            </w:r>
          </w:p>
          <w:p w14:paraId="045732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b.投标文件组成齐全完整，内容均按规定填写。</w:t>
            </w:r>
          </w:p>
          <w:p w14:paraId="4A2A6CE7">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（2）投标文件上法定代表人或其委托代理人的签字、投标人的单位章盖章齐全，符合招标文件规定。</w:t>
            </w:r>
          </w:p>
          <w:p w14:paraId="18787D8B">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（3）投标人按照招标文件的规定提供了投标保证金：</w:t>
            </w:r>
          </w:p>
          <w:p w14:paraId="0D77A9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a</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投标保证金金额符合招标文件规定的金额，且投标保证金有效期不少于投标有效期；</w:t>
            </w:r>
          </w:p>
          <w:p w14:paraId="33DE02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b</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若投标保证金采用现金或支票形式提交，投标人应在递交投标文件截止时间之前，将投标保证金由投标人的基本账户转入招标人指定账户；</w:t>
            </w:r>
          </w:p>
          <w:p w14:paraId="60A2A6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bCs/>
                <w:sz w:val="21"/>
                <w:szCs w:val="21"/>
                <w:highlight w:val="none"/>
              </w:rPr>
              <w:t>应满足</w:t>
            </w:r>
            <w:r>
              <w:rPr>
                <w:rFonts w:hint="eastAsia" w:ascii="宋体" w:hAnsi="宋体" w:eastAsia="宋体" w:cs="宋体"/>
                <w:bCs/>
                <w:sz w:val="21"/>
                <w:szCs w:val="21"/>
                <w:highlight w:val="none"/>
                <w:lang w:val="en-US" w:eastAsia="zh-CN"/>
              </w:rPr>
              <w:t>招标文件</w:t>
            </w:r>
            <w:r>
              <w:rPr>
                <w:rFonts w:hint="eastAsia" w:ascii="宋体" w:hAnsi="宋体" w:eastAsia="宋体" w:cs="宋体"/>
                <w:bCs/>
                <w:sz w:val="21"/>
                <w:szCs w:val="21"/>
                <w:highlight w:val="none"/>
              </w:rPr>
              <w:t>相关要求</w:t>
            </w:r>
            <w:r>
              <w:rPr>
                <w:rFonts w:hint="eastAsia" w:ascii="宋体" w:hAnsi="宋体" w:eastAsia="宋体" w:cs="宋体"/>
                <w:bCs/>
                <w:sz w:val="21"/>
                <w:szCs w:val="21"/>
                <w:highlight w:val="none"/>
                <w:lang w:val="zh-CN"/>
              </w:rPr>
              <w:t>。</w:t>
            </w:r>
          </w:p>
          <w:p w14:paraId="168EC162">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（4）投标人法定代表人授权委托代理人签署投标文件的，须提交授权委托书，且授权人和被授权人均在授权委托书上签名。</w:t>
            </w:r>
          </w:p>
          <w:p w14:paraId="0BC4BBE2">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（5）投标人法定代表人亲自签署投标文件的，提供了法定代表人身份证明，且法定代表人在法定代表人身份证明上签名。</w:t>
            </w:r>
          </w:p>
          <w:p w14:paraId="632CCCDF">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（6）投标人以联合体形式投标时，按照招标文件提供的格式签订了联合体协议书，明确各方承担连带责任，并明确了联合体牵头人。</w:t>
            </w:r>
          </w:p>
          <w:p w14:paraId="22FA19B2">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（7）同一投标人未提交两个以上不同的投标文件，但招标文件要求提交备选投标的除外。</w:t>
            </w:r>
          </w:p>
          <w:p w14:paraId="48849A80">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（8）投标文件中未出现有关投标报价的内容。</w:t>
            </w:r>
          </w:p>
          <w:p w14:paraId="45AE1D74">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（9）投标文件载明的招标项目完成期限</w:t>
            </w:r>
            <w:r>
              <w:rPr>
                <w:rFonts w:hint="eastAsia" w:ascii="宋体" w:hAnsi="宋体" w:eastAsia="宋体" w:cs="宋体"/>
                <w:sz w:val="21"/>
                <w:szCs w:val="21"/>
                <w:highlight w:val="none"/>
                <w:lang w:val="en-US" w:eastAsia="zh-CN" w:bidi="zh-TW"/>
              </w:rPr>
              <w:t>符合</w:t>
            </w:r>
            <w:r>
              <w:rPr>
                <w:rFonts w:hint="eastAsia" w:ascii="宋体" w:hAnsi="宋体" w:eastAsia="宋体" w:cs="宋体"/>
                <w:sz w:val="21"/>
                <w:szCs w:val="21"/>
                <w:highlight w:val="none"/>
                <w:lang w:bidi="zh-TW"/>
              </w:rPr>
              <w:t>招标文件规定。</w:t>
            </w:r>
          </w:p>
          <w:p w14:paraId="38E69704">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（10）投标文件对招标文件的实质性要求和条件作出响应。</w:t>
            </w:r>
          </w:p>
          <w:p w14:paraId="199BBD54">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（11）权</w:t>
            </w:r>
            <w:r>
              <w:rPr>
                <w:rFonts w:hint="eastAsia" w:ascii="宋体" w:hAnsi="宋体" w:eastAsia="宋体" w:cs="宋体"/>
                <w:sz w:val="21"/>
                <w:szCs w:val="21"/>
                <w:highlight w:val="none"/>
              </w:rPr>
              <w:t>利义务符合招标文件规定：</w:t>
            </w:r>
          </w:p>
          <w:p w14:paraId="22C1F994">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14:paraId="4409CCF0">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2FE44DA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3B817AC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14:paraId="34AA62C9">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14:paraId="43598E18">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tc>
      </w:tr>
      <w:tr w14:paraId="7450B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3BD133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527" w:type="dxa"/>
            <w:shd w:val="clear" w:color="auto" w:fill="auto"/>
            <w:vAlign w:val="center"/>
          </w:tcPr>
          <w:p w14:paraId="33FABA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第二信封</w:t>
            </w:r>
          </w:p>
          <w:p w14:paraId="0F259D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6B1F0B31">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第二个信封（报价文件）评审标准：</w:t>
            </w:r>
          </w:p>
          <w:p w14:paraId="678FBB61">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（1）投标文件按照招标文件规定的格式、内容填写，字迹清晰可辨，内容齐全完整：</w:t>
            </w:r>
          </w:p>
          <w:p w14:paraId="6CBD92E0">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a.投标函按招标文件规定填报了项目名称、标段号、补遗书编号（如有）、投标价（包括大写金额和小写金额）；</w:t>
            </w:r>
          </w:p>
          <w:p w14:paraId="6B56BDD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b.已标价报价清单说明文字与招标文件规定一致，未进行实质性修改和删减；</w:t>
            </w:r>
          </w:p>
          <w:p w14:paraId="28D49A7F">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14:paraId="76BB543D">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29C0A540">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（3）投标报价未超过招标文件设定的最高投标限价。</w:t>
            </w:r>
          </w:p>
          <w:p w14:paraId="291BB3E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（4）投标报价的大写金额能够确定具体数值。</w:t>
            </w:r>
          </w:p>
          <w:p w14:paraId="0533C704">
            <w:pPr>
              <w:keepNext w:val="0"/>
              <w:keepLines w:val="0"/>
              <w:pageBreakBefore w:val="0"/>
              <w:widowControl w:val="0"/>
              <w:tabs>
                <w:tab w:val="left" w:pos="756"/>
                <w:tab w:val="left" w:pos="1131"/>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rPr>
              <w:t>（5）同一投标人未提交两个以上不同的投标报价，但招标文件要求提交备选投标的除外。</w:t>
            </w:r>
          </w:p>
        </w:tc>
      </w:tr>
      <w:tr w14:paraId="3D576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3D801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rPr>
              <w:t>2.1.2</w:t>
            </w:r>
          </w:p>
        </w:tc>
        <w:tc>
          <w:tcPr>
            <w:tcW w:w="1527" w:type="dxa"/>
            <w:shd w:val="clear" w:color="auto" w:fill="auto"/>
            <w:vAlign w:val="center"/>
          </w:tcPr>
          <w:p w14:paraId="7B64B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w:t>
            </w:r>
          </w:p>
          <w:p w14:paraId="1DE7E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rPr>
              <w:t>评审标准</w:t>
            </w:r>
          </w:p>
        </w:tc>
        <w:tc>
          <w:tcPr>
            <w:tcW w:w="7076" w:type="dxa"/>
            <w:shd w:val="clear" w:color="auto" w:fill="auto"/>
          </w:tcPr>
          <w:p w14:paraId="0E534E2C">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（1）投标人具备有效的营业执照、资质证书和基本账户开户证明材料。</w:t>
            </w:r>
          </w:p>
          <w:p w14:paraId="26F1AAF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p>
          <w:p w14:paraId="7EF0953D">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（3）投标人的类似项目业绩符合招标文件规定。</w:t>
            </w:r>
          </w:p>
          <w:p w14:paraId="7A303336">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（4）投标人的信誉符合招标文件规定。</w:t>
            </w:r>
          </w:p>
          <w:p w14:paraId="11C89EE8">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（5）投标人的总监理工程师资格、在岗情况符合招标文件规定。</w:t>
            </w:r>
          </w:p>
          <w:p w14:paraId="152754B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（6）投标人不存在第二章“投标人须知”第1.4.3项或第1.4.4项规定的任何一种情形。</w:t>
            </w:r>
          </w:p>
          <w:p w14:paraId="54F076B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（7）投标人符合第二章“投标人须知”第1.4.5项规定。</w:t>
            </w:r>
            <w:r>
              <w:rPr>
                <w:rFonts w:hint="eastAsia" w:ascii="宋体" w:hAnsi="宋体" w:eastAsia="宋体" w:cs="宋体"/>
                <w:sz w:val="21"/>
                <w:szCs w:val="21"/>
                <w:highlight w:val="none"/>
                <w:vertAlign w:val="superscript"/>
              </w:rPr>
              <w:footnoteReference w:id="3"/>
            </w:r>
          </w:p>
          <w:p w14:paraId="133DC964">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（8）以联合体形式参与投标的，联合体各方均未再以自己名义单独或参加其他联合体在同一标段中投标。</w:t>
            </w:r>
          </w:p>
        </w:tc>
      </w:tr>
      <w:tr w14:paraId="37C7D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46295B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2.1</w:t>
            </w:r>
          </w:p>
        </w:tc>
        <w:tc>
          <w:tcPr>
            <w:tcW w:w="1527" w:type="dxa"/>
            <w:shd w:val="clear" w:color="auto" w:fill="auto"/>
            <w:vAlign w:val="center"/>
          </w:tcPr>
          <w:p w14:paraId="65BD4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分值构成</w:t>
            </w:r>
          </w:p>
          <w:p w14:paraId="4BA91B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en-US"/>
              </w:rPr>
              <w:t>（</w:t>
            </w:r>
            <w:r>
              <w:rPr>
                <w:rFonts w:hint="eastAsia" w:ascii="宋体" w:hAnsi="宋体" w:eastAsia="宋体" w:cs="宋体"/>
                <w:sz w:val="21"/>
                <w:szCs w:val="21"/>
                <w:highlight w:val="none"/>
                <w:lang w:bidi="en-US"/>
              </w:rPr>
              <w:t>总100分</w:t>
            </w:r>
            <w:r>
              <w:rPr>
                <w:rFonts w:hint="eastAsia" w:ascii="宋体" w:hAnsi="宋体" w:eastAsia="宋体" w:cs="宋体"/>
                <w:sz w:val="21"/>
                <w:szCs w:val="21"/>
                <w:highlight w:val="none"/>
                <w:lang w:eastAsia="zh-CN" w:bidi="en-US"/>
              </w:rPr>
              <w:t>）</w:t>
            </w:r>
          </w:p>
        </w:tc>
        <w:tc>
          <w:tcPr>
            <w:tcW w:w="7076" w:type="dxa"/>
            <w:shd w:val="clear" w:color="auto" w:fill="auto"/>
          </w:tcPr>
          <w:p w14:paraId="42AF1B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第一个信封（商务及技术文件）评分分值构成：</w:t>
            </w:r>
          </w:p>
          <w:p w14:paraId="2E475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技术建议书：</w:t>
            </w:r>
            <w:r>
              <w:rPr>
                <w:rFonts w:hint="eastAsia" w:ascii="宋体" w:hAnsi="宋体" w:eastAsia="宋体" w:cs="宋体"/>
                <w:sz w:val="21"/>
                <w:szCs w:val="21"/>
                <w:highlight w:val="none"/>
                <w:u w:val="single"/>
                <w:lang w:bidi="en-US"/>
              </w:rPr>
              <w:t xml:space="preserve"> 35 </w:t>
            </w:r>
            <w:r>
              <w:rPr>
                <w:rFonts w:hint="eastAsia" w:ascii="宋体" w:hAnsi="宋体" w:eastAsia="宋体" w:cs="宋体"/>
                <w:sz w:val="21"/>
                <w:szCs w:val="21"/>
                <w:highlight w:val="none"/>
                <w:lang w:bidi="en-US"/>
              </w:rPr>
              <w:t>分</w:t>
            </w:r>
          </w:p>
          <w:p w14:paraId="0E259E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主要人员：</w:t>
            </w:r>
            <w:r>
              <w:rPr>
                <w:rFonts w:hint="eastAsia" w:ascii="宋体" w:hAnsi="宋体" w:eastAsia="宋体" w:cs="宋体"/>
                <w:sz w:val="21"/>
                <w:szCs w:val="21"/>
                <w:highlight w:val="none"/>
                <w:u w:val="single"/>
                <w:lang w:bidi="en-US"/>
              </w:rPr>
              <w:t xml:space="preserve"> 25 </w:t>
            </w:r>
            <w:r>
              <w:rPr>
                <w:rFonts w:hint="eastAsia" w:ascii="宋体" w:hAnsi="宋体" w:eastAsia="宋体" w:cs="宋体"/>
                <w:sz w:val="21"/>
                <w:szCs w:val="21"/>
                <w:highlight w:val="none"/>
                <w:lang w:bidi="en-US"/>
              </w:rPr>
              <w:t>分</w:t>
            </w:r>
          </w:p>
          <w:p w14:paraId="57757D0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业绩：</w:t>
            </w:r>
            <w:r>
              <w:rPr>
                <w:rFonts w:hint="eastAsia" w:ascii="宋体" w:hAnsi="宋体" w:eastAsia="宋体" w:cs="宋体"/>
                <w:sz w:val="21"/>
                <w:szCs w:val="21"/>
                <w:highlight w:val="none"/>
                <w:u w:val="single"/>
                <w:lang w:bidi="en-US"/>
              </w:rPr>
              <w:t xml:space="preserve"> 20 </w:t>
            </w:r>
            <w:r>
              <w:rPr>
                <w:rFonts w:hint="eastAsia" w:ascii="宋体" w:hAnsi="宋体" w:eastAsia="宋体" w:cs="宋体"/>
                <w:sz w:val="21"/>
                <w:szCs w:val="21"/>
                <w:highlight w:val="none"/>
                <w:lang w:bidi="en-US"/>
              </w:rPr>
              <w:t>分</w:t>
            </w:r>
          </w:p>
          <w:p w14:paraId="096ECB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履约信誉：</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p w14:paraId="5480A9C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en-US"/>
              </w:rPr>
            </w:pPr>
            <w:r>
              <w:rPr>
                <w:rFonts w:hint="eastAsia" w:ascii="宋体" w:hAnsi="宋体" w:eastAsia="宋体" w:cs="宋体"/>
                <w:b/>
                <w:sz w:val="21"/>
                <w:szCs w:val="21"/>
                <w:highlight w:val="none"/>
                <w:lang w:bidi="en-US"/>
              </w:rPr>
              <w:t>第二个信封（报价文件）评分分值构成：</w:t>
            </w:r>
          </w:p>
          <w:p w14:paraId="6E04DF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评标价：</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tc>
      </w:tr>
      <w:tr w14:paraId="66D7E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B27D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2.2</w:t>
            </w:r>
          </w:p>
        </w:tc>
        <w:tc>
          <w:tcPr>
            <w:tcW w:w="1527" w:type="dxa"/>
            <w:shd w:val="clear" w:color="auto" w:fill="auto"/>
            <w:vAlign w:val="center"/>
          </w:tcPr>
          <w:p w14:paraId="22BAFB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076" w:type="dxa"/>
            <w:shd w:val="clear" w:color="auto" w:fill="auto"/>
          </w:tcPr>
          <w:p w14:paraId="5B47FF16">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2A08ADF7">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616BF1BF">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09985E2F">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5F6980F2">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35881455">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除按第二章“投标人须知”第5.2.4项规定开标现场被宣布为不参与评标基准价计算的投标报价之外，所有投标人的评标价去掉一个最高值和一个最低值后的算术平均值即为评标价平均值</w:t>
            </w:r>
            <w:r>
              <w:rPr>
                <w:rFonts w:hint="eastAsia" w:ascii="宋体" w:hAnsi="宋体" w:eastAsia="宋体" w:cs="宋体"/>
                <w:bCs/>
                <w:sz w:val="21"/>
                <w:szCs w:val="21"/>
                <w:highlight w:val="none"/>
              </w:rPr>
              <w:t>（如果参与评标价平均值计算的有效投标人少于5家时，则计算评标价平均值时不去掉最高值和最低值），评标价平均值的计算保留整数，小数点后第1位“四舍五入”。</w:t>
            </w:r>
          </w:p>
          <w:p w14:paraId="3F3B36F1">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7031BF1E">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7EE4183F">
            <w:pPr>
              <w:keepNext w:val="0"/>
              <w:keepLines w:val="0"/>
              <w:pageBreakBefore w:val="0"/>
              <w:widowControl w:val="0"/>
              <w:kinsoku/>
              <w:wordWrap/>
              <w:overflowPunct/>
              <w:topLinePunct w:val="0"/>
              <w:autoSpaceDE/>
              <w:autoSpaceDN/>
              <w:bidi w:val="0"/>
              <w:adjustRightInd/>
              <w:snapToGrid/>
              <w:spacing w:line="360" w:lineRule="exact"/>
              <w:ind w:firstLine="455" w:firstLineChars="21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在评标过程中，评标委员会应对计算的评标基准价进行复核，存在计算错误的应予以修正并在评标报告中作出说明。除此之外，评标基准价在整个评标期间保持不变，不随任何因素发生变化。</w:t>
            </w:r>
          </w:p>
        </w:tc>
      </w:tr>
      <w:tr w14:paraId="4829D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B157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lang w:eastAsia="zh-CN" w:bidi="ar-SA"/>
              </w:rPr>
              <w:t>2.2.3</w:t>
            </w:r>
          </w:p>
        </w:tc>
        <w:tc>
          <w:tcPr>
            <w:tcW w:w="1527" w:type="dxa"/>
            <w:shd w:val="clear" w:color="auto" w:fill="auto"/>
            <w:vAlign w:val="center"/>
          </w:tcPr>
          <w:p w14:paraId="2C543A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076" w:type="dxa"/>
            <w:shd w:val="clear" w:color="auto" w:fill="auto"/>
          </w:tcPr>
          <w:p w14:paraId="139A5848">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w:t>
            </w:r>
            <w:r>
              <w:rPr>
                <w:rFonts w:hint="eastAsia" w:ascii="宋体" w:hAnsi="宋体" w:eastAsia="宋体" w:cs="宋体"/>
                <w:sz w:val="21"/>
                <w:szCs w:val="21"/>
                <w:highlight w:val="none"/>
                <w:lang w:eastAsia="zh-CN"/>
              </w:rPr>
              <w:t>（</w:t>
            </w:r>
            <w:bookmarkStart w:id="9" w:name="_GoBack"/>
            <w:r>
              <w:rPr>
                <w:rFonts w:hint="eastAsia" w:ascii="宋体" w:hAnsi="宋体" w:eastAsia="宋体" w:cs="宋体"/>
                <w:sz w:val="21"/>
                <w:szCs w:val="21"/>
                <w:highlight w:val="none"/>
              </w:rPr>
              <w:t>投标人评标价</w:t>
            </w:r>
            <w:bookmarkEnd w:id="9"/>
            <w:r>
              <w:rPr>
                <w:rFonts w:hint="eastAsia" w:ascii="宋体" w:hAnsi="宋体" w:eastAsia="宋体" w:cs="宋体"/>
                <w:sz w:val="21"/>
                <w:szCs w:val="21"/>
                <w:highlight w:val="none"/>
              </w:rPr>
              <w:t>-评标基准价）/评标基准价</w:t>
            </w:r>
          </w:p>
          <w:p w14:paraId="370188EE">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偏差率保留2位小数</w:t>
            </w:r>
          </w:p>
        </w:tc>
      </w:tr>
    </w:tbl>
    <w:p w14:paraId="3E6BDD87">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p>
    <w:p w14:paraId="55B71FE5">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续上表</w:t>
      </w:r>
    </w:p>
    <w:tbl>
      <w:tblPr>
        <w:tblStyle w:val="11"/>
        <w:tblW w:w="96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49"/>
        <w:gridCol w:w="676"/>
        <w:gridCol w:w="1110"/>
        <w:gridCol w:w="1905"/>
        <w:gridCol w:w="945"/>
        <w:gridCol w:w="3152"/>
      </w:tblGrid>
      <w:tr w14:paraId="47A89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54" w:type="dxa"/>
            <w:gridSpan w:val="6"/>
            <w:shd w:val="clear" w:color="auto" w:fill="auto"/>
            <w:vAlign w:val="center"/>
          </w:tcPr>
          <w:p w14:paraId="53C2CE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评分因素与权重分值</w:t>
            </w:r>
            <w:r>
              <w:rPr>
                <w:rStyle w:val="13"/>
                <w:rFonts w:hint="eastAsia" w:ascii="宋体" w:hAnsi="宋体" w:eastAsia="宋体" w:cs="宋体"/>
                <w:color w:val="auto"/>
                <w:sz w:val="21"/>
                <w:szCs w:val="21"/>
                <w:highlight w:val="none"/>
              </w:rPr>
              <w:footnoteReference w:id="4"/>
            </w:r>
          </w:p>
        </w:tc>
        <w:tc>
          <w:tcPr>
            <w:tcW w:w="3152" w:type="dxa"/>
            <w:vMerge w:val="restart"/>
            <w:shd w:val="clear" w:color="auto" w:fill="auto"/>
            <w:vAlign w:val="center"/>
          </w:tcPr>
          <w:p w14:paraId="7A11D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5BD8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69" w:type="dxa"/>
            <w:shd w:val="clear" w:color="auto" w:fill="auto"/>
            <w:vAlign w:val="center"/>
          </w:tcPr>
          <w:p w14:paraId="16E0A1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25" w:type="dxa"/>
            <w:gridSpan w:val="2"/>
            <w:shd w:val="clear" w:color="auto" w:fill="auto"/>
            <w:vAlign w:val="center"/>
          </w:tcPr>
          <w:p w14:paraId="18071B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1110" w:type="dxa"/>
            <w:shd w:val="clear" w:color="auto" w:fill="auto"/>
            <w:vAlign w:val="center"/>
          </w:tcPr>
          <w:p w14:paraId="38047A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评分因素权重分值</w:t>
            </w:r>
          </w:p>
        </w:tc>
        <w:tc>
          <w:tcPr>
            <w:tcW w:w="1905" w:type="dxa"/>
            <w:shd w:val="clear" w:color="auto" w:fill="auto"/>
            <w:vAlign w:val="center"/>
          </w:tcPr>
          <w:p w14:paraId="636111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各评分因素细分项</w:t>
            </w:r>
          </w:p>
        </w:tc>
        <w:tc>
          <w:tcPr>
            <w:tcW w:w="945" w:type="dxa"/>
            <w:shd w:val="clear" w:color="auto" w:fill="auto"/>
            <w:vAlign w:val="center"/>
          </w:tcPr>
          <w:p w14:paraId="13B0B7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152" w:type="dxa"/>
            <w:vMerge w:val="continue"/>
            <w:shd w:val="clear" w:color="auto" w:fill="auto"/>
          </w:tcPr>
          <w:p w14:paraId="0FE4F6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52C6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66229E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425" w:type="dxa"/>
            <w:gridSpan w:val="2"/>
            <w:vMerge w:val="restart"/>
            <w:shd w:val="clear" w:color="auto" w:fill="auto"/>
            <w:vAlign w:val="center"/>
          </w:tcPr>
          <w:p w14:paraId="0E89727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p>
        </w:tc>
        <w:tc>
          <w:tcPr>
            <w:tcW w:w="1110" w:type="dxa"/>
            <w:vMerge w:val="restart"/>
            <w:shd w:val="clear" w:color="auto" w:fill="auto"/>
            <w:vAlign w:val="center"/>
          </w:tcPr>
          <w:p w14:paraId="169D74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35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1405AC4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监理大纲（或监理方案）和措施</w:t>
            </w:r>
          </w:p>
        </w:tc>
        <w:tc>
          <w:tcPr>
            <w:tcW w:w="945" w:type="dxa"/>
            <w:vMerge w:val="restart"/>
            <w:shd w:val="clear" w:color="auto" w:fill="auto"/>
            <w:vAlign w:val="center"/>
          </w:tcPr>
          <w:p w14:paraId="6E4E1A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3152" w:type="dxa"/>
            <w:shd w:val="clear" w:color="auto" w:fill="auto"/>
            <w:vAlign w:val="center"/>
          </w:tcPr>
          <w:p w14:paraId="42739E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一般得12～15分</w:t>
            </w:r>
          </w:p>
        </w:tc>
      </w:tr>
      <w:tr w14:paraId="60CF2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55213D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3A53D0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F928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42258E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06FC17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673858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满意得15～20分</w:t>
            </w:r>
          </w:p>
        </w:tc>
      </w:tr>
      <w:tr w14:paraId="48126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954198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15EA8BE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79B67E0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00F9187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本工程监理工作的重点与难点分析</w:t>
            </w:r>
          </w:p>
        </w:tc>
        <w:tc>
          <w:tcPr>
            <w:tcW w:w="945" w:type="dxa"/>
            <w:vMerge w:val="restart"/>
            <w:shd w:val="clear" w:color="auto" w:fill="auto"/>
            <w:vAlign w:val="center"/>
          </w:tcPr>
          <w:p w14:paraId="0D8A487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5547D7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一般得6～8分</w:t>
            </w:r>
          </w:p>
        </w:tc>
      </w:tr>
      <w:tr w14:paraId="793FA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90AEF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28B33DC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28CBD9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7CDD8BA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56E0257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454D62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满意得8～10分</w:t>
            </w:r>
          </w:p>
        </w:tc>
      </w:tr>
      <w:tr w14:paraId="332E0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266AD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7B703DC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37812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7DC080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对本工程的建议</w:t>
            </w:r>
          </w:p>
        </w:tc>
        <w:tc>
          <w:tcPr>
            <w:tcW w:w="945" w:type="dxa"/>
            <w:vMerge w:val="restart"/>
            <w:shd w:val="clear" w:color="auto" w:fill="auto"/>
            <w:vAlign w:val="center"/>
          </w:tcPr>
          <w:p w14:paraId="5AC50C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分</w:t>
            </w:r>
          </w:p>
        </w:tc>
        <w:tc>
          <w:tcPr>
            <w:tcW w:w="3152" w:type="dxa"/>
            <w:shd w:val="clear" w:color="auto" w:fill="auto"/>
            <w:vAlign w:val="center"/>
          </w:tcPr>
          <w:p w14:paraId="515CC9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一般得3～4分</w:t>
            </w:r>
          </w:p>
        </w:tc>
      </w:tr>
      <w:tr w14:paraId="68E85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6E8957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2BC8F77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DD559C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4424DD3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shd w:val="clear" w:color="auto" w:fill="auto"/>
            <w:vAlign w:val="center"/>
          </w:tcPr>
          <w:p w14:paraId="1DEEB4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152" w:type="dxa"/>
            <w:shd w:val="clear" w:color="auto" w:fill="auto"/>
            <w:vAlign w:val="center"/>
          </w:tcPr>
          <w:p w14:paraId="01E801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满意得4～5分</w:t>
            </w:r>
          </w:p>
        </w:tc>
      </w:tr>
      <w:tr w14:paraId="1B00F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5F5356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425" w:type="dxa"/>
            <w:gridSpan w:val="2"/>
            <w:vMerge w:val="restart"/>
            <w:shd w:val="clear" w:color="auto" w:fill="auto"/>
            <w:vAlign w:val="center"/>
          </w:tcPr>
          <w:p w14:paraId="13FF32E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110" w:type="dxa"/>
            <w:vMerge w:val="restart"/>
            <w:shd w:val="clear" w:color="auto" w:fill="auto"/>
            <w:vAlign w:val="center"/>
          </w:tcPr>
          <w:p w14:paraId="34AE367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75427A4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总监理工程师</w:t>
            </w:r>
            <w:r>
              <w:rPr>
                <w:rFonts w:hint="eastAsia" w:ascii="宋体" w:hAnsi="宋体" w:eastAsia="宋体" w:cs="宋体"/>
                <w:color w:val="auto"/>
                <w:sz w:val="21"/>
                <w:szCs w:val="21"/>
                <w:highlight w:val="none"/>
                <w:lang w:bidi="en-US"/>
              </w:rPr>
              <w:br w:type="textWrapping"/>
            </w:r>
            <w:r>
              <w:rPr>
                <w:rFonts w:hint="eastAsia" w:ascii="宋体" w:hAnsi="宋体" w:eastAsia="宋体" w:cs="宋体"/>
                <w:color w:val="auto"/>
                <w:sz w:val="21"/>
                <w:szCs w:val="21"/>
                <w:highlight w:val="none"/>
                <w:lang w:bidi="en-US"/>
              </w:rPr>
              <w:t>任职资格与业绩</w:t>
            </w:r>
          </w:p>
        </w:tc>
        <w:tc>
          <w:tcPr>
            <w:tcW w:w="945" w:type="dxa"/>
            <w:shd w:val="clear" w:color="auto" w:fill="auto"/>
            <w:vAlign w:val="center"/>
          </w:tcPr>
          <w:p w14:paraId="6DEA13A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分</w:t>
            </w:r>
          </w:p>
        </w:tc>
        <w:tc>
          <w:tcPr>
            <w:tcW w:w="3152" w:type="dxa"/>
            <w:shd w:val="clear" w:color="auto" w:fill="auto"/>
            <w:vAlign w:val="center"/>
          </w:tcPr>
          <w:p w14:paraId="20F28C53">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满足资格审查最低要求得15分</w:t>
            </w:r>
          </w:p>
        </w:tc>
      </w:tr>
      <w:tr w14:paraId="439B9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783CE0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6C1D24B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24792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tcPr>
          <w:p w14:paraId="5058AF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bidi="en-US"/>
              </w:rPr>
            </w:pPr>
          </w:p>
        </w:tc>
        <w:tc>
          <w:tcPr>
            <w:tcW w:w="945" w:type="dxa"/>
            <w:shd w:val="clear" w:color="auto" w:fill="auto"/>
            <w:vAlign w:val="center"/>
          </w:tcPr>
          <w:p w14:paraId="7040F0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04F4B2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每提供1项二级（含）以上公路</w:t>
            </w:r>
            <w:r>
              <w:rPr>
                <w:rFonts w:hint="eastAsia" w:ascii="宋体" w:hAnsi="宋体" w:eastAsia="宋体" w:cs="宋体"/>
                <w:sz w:val="21"/>
                <w:szCs w:val="21"/>
                <w:highlight w:val="none"/>
                <w:lang w:val="en-US" w:eastAsia="zh-CN"/>
              </w:rPr>
              <w:t>沥青混凝土路面新、改扩建工程或养护工程</w:t>
            </w:r>
            <w:r>
              <w:rPr>
                <w:rFonts w:hint="eastAsia" w:ascii="宋体" w:hAnsi="宋体" w:eastAsia="宋体" w:cs="宋体"/>
                <w:color w:val="auto"/>
                <w:sz w:val="21"/>
                <w:szCs w:val="21"/>
                <w:highlight w:val="none"/>
              </w:rPr>
              <w:t>的总监理工程师或副总监理工程师或驻地监理工程师或专业监理工程师任职经历加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分，最多加10分。</w:t>
            </w:r>
          </w:p>
        </w:tc>
      </w:tr>
      <w:tr w14:paraId="374CA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shd w:val="clear" w:color="auto" w:fill="auto"/>
            <w:vAlign w:val="center"/>
          </w:tcPr>
          <w:p w14:paraId="4B1D196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425" w:type="dxa"/>
            <w:gridSpan w:val="2"/>
            <w:shd w:val="clear" w:color="auto" w:fill="auto"/>
            <w:vAlign w:val="center"/>
          </w:tcPr>
          <w:p w14:paraId="6DBD0F3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p>
        </w:tc>
        <w:tc>
          <w:tcPr>
            <w:tcW w:w="1110" w:type="dxa"/>
            <w:shd w:val="clear" w:color="auto" w:fill="auto"/>
            <w:vAlign w:val="center"/>
          </w:tcPr>
          <w:p w14:paraId="590965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6002" w:type="dxa"/>
            <w:gridSpan w:val="3"/>
            <w:shd w:val="clear" w:color="auto" w:fill="auto"/>
          </w:tcPr>
          <w:p w14:paraId="59CBBEF5">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评标价得分计算公式示例：</w:t>
            </w:r>
          </w:p>
          <w:p w14:paraId="615D07C7">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14:paraId="3E857831">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254F729C">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式中：F=10，E1=0.2，E2=0.1。</w:t>
            </w:r>
          </w:p>
          <w:p w14:paraId="2E1808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382DF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463A307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749" w:type="dxa"/>
            <w:vMerge w:val="restart"/>
            <w:shd w:val="clear" w:color="auto" w:fill="auto"/>
            <w:vAlign w:val="center"/>
          </w:tcPr>
          <w:p w14:paraId="7A05A2D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483E74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c>
          <w:tcPr>
            <w:tcW w:w="676" w:type="dxa"/>
            <w:vMerge w:val="restart"/>
            <w:shd w:val="clear" w:color="auto" w:fill="auto"/>
            <w:vAlign w:val="center"/>
          </w:tcPr>
          <w:p w14:paraId="6AAF61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110" w:type="dxa"/>
            <w:vMerge w:val="restart"/>
            <w:shd w:val="clear" w:color="auto" w:fill="auto"/>
            <w:vAlign w:val="center"/>
          </w:tcPr>
          <w:p w14:paraId="68484F2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09538E1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监理过的项目</w:t>
            </w:r>
          </w:p>
        </w:tc>
        <w:tc>
          <w:tcPr>
            <w:tcW w:w="945" w:type="dxa"/>
            <w:shd w:val="clear" w:color="auto" w:fill="auto"/>
            <w:vAlign w:val="center"/>
          </w:tcPr>
          <w:p w14:paraId="4DEAF61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分</w:t>
            </w:r>
          </w:p>
        </w:tc>
        <w:tc>
          <w:tcPr>
            <w:tcW w:w="3152" w:type="dxa"/>
            <w:shd w:val="clear" w:color="auto" w:fill="auto"/>
            <w:vAlign w:val="center"/>
          </w:tcPr>
          <w:p w14:paraId="3E831B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投标人通过初步评审得12分。</w:t>
            </w:r>
          </w:p>
        </w:tc>
      </w:tr>
      <w:tr w14:paraId="0AE97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5619991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4D63543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F2609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488E28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tcPr>
          <w:p w14:paraId="7C823AC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358433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8 </w:t>
            </w:r>
            <w:r>
              <w:rPr>
                <w:rFonts w:hint="eastAsia" w:ascii="宋体" w:hAnsi="宋体" w:eastAsia="宋体" w:cs="宋体"/>
                <w:color w:val="auto"/>
                <w:sz w:val="21"/>
                <w:szCs w:val="21"/>
                <w:highlight w:val="none"/>
              </w:rPr>
              <w:t>分</w:t>
            </w:r>
          </w:p>
        </w:tc>
        <w:tc>
          <w:tcPr>
            <w:tcW w:w="3152" w:type="dxa"/>
            <w:shd w:val="clear" w:color="auto" w:fill="auto"/>
            <w:vAlign w:val="center"/>
          </w:tcPr>
          <w:p w14:paraId="3794FE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完成过</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二级（含）以上公路</w:t>
            </w:r>
            <w:r>
              <w:rPr>
                <w:rFonts w:hint="eastAsia" w:ascii="宋体" w:hAnsi="宋体" w:eastAsia="宋体" w:cs="宋体"/>
                <w:sz w:val="21"/>
                <w:szCs w:val="21"/>
                <w:highlight w:val="none"/>
                <w:lang w:val="en-US" w:eastAsia="zh-CN"/>
              </w:rPr>
              <w:t>沥青混凝土路面新、改扩建工程或养护工程的</w:t>
            </w:r>
            <w:r>
              <w:rPr>
                <w:rFonts w:hint="eastAsia" w:ascii="宋体" w:hAnsi="宋体" w:eastAsia="宋体" w:cs="宋体"/>
                <w:color w:val="auto"/>
                <w:sz w:val="21"/>
                <w:szCs w:val="21"/>
                <w:highlight w:val="none"/>
              </w:rPr>
              <w:t>施工监理业绩加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最多加8分</w:t>
            </w:r>
            <w:r>
              <w:rPr>
                <w:rFonts w:hint="eastAsia" w:ascii="宋体" w:hAnsi="宋体" w:eastAsia="宋体" w:cs="宋体"/>
                <w:color w:val="auto"/>
                <w:sz w:val="21"/>
                <w:szCs w:val="21"/>
                <w:highlight w:val="none"/>
              </w:rPr>
              <w:t>。</w:t>
            </w:r>
          </w:p>
          <w:p w14:paraId="4B1BCE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sz w:val="21"/>
                <w:szCs w:val="21"/>
                <w:highlight w:val="none"/>
                <w:lang w:val="en-US" w:eastAsia="zh-CN"/>
              </w:rPr>
              <w:t>注：</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000000"/>
                <w:kern w:val="0"/>
                <w:sz w:val="21"/>
                <w:szCs w:val="21"/>
                <w:highlight w:val="none"/>
                <w:lang w:val="en-US" w:eastAsia="zh-CN" w:bidi="ar"/>
              </w:rPr>
              <w:t>两阶段验收工程以交工时间为准，一阶段验收工程以竣工时间为准。</w:t>
            </w:r>
          </w:p>
          <w:p w14:paraId="50691A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②联合体投标的，按照联合体牵头人的业绩数量计算。</w:t>
            </w:r>
          </w:p>
        </w:tc>
      </w:tr>
      <w:tr w14:paraId="6A708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559F1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7975EB5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restart"/>
            <w:shd w:val="clear" w:color="auto" w:fill="auto"/>
            <w:vAlign w:val="center"/>
          </w:tcPr>
          <w:p w14:paraId="0EF19CA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p>
        </w:tc>
        <w:tc>
          <w:tcPr>
            <w:tcW w:w="1110" w:type="dxa"/>
            <w:vMerge w:val="restart"/>
            <w:shd w:val="clear" w:color="auto" w:fill="auto"/>
            <w:vAlign w:val="center"/>
          </w:tcPr>
          <w:p w14:paraId="43B148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04DCC3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p>
        </w:tc>
        <w:tc>
          <w:tcPr>
            <w:tcW w:w="945" w:type="dxa"/>
            <w:shd w:val="clear" w:color="auto" w:fill="auto"/>
            <w:vAlign w:val="center"/>
          </w:tcPr>
          <w:p w14:paraId="64A7E5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1461E9A4">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信用等级AA</w:t>
            </w:r>
          </w:p>
        </w:tc>
      </w:tr>
      <w:tr w14:paraId="073FA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CD65DA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42C95F1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379A3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72FD14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40E0D5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540814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3F77D0B1">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信用等级A</w:t>
            </w:r>
          </w:p>
        </w:tc>
      </w:tr>
      <w:tr w14:paraId="38595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63141D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04C545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7E8CC5E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6E21E8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227327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4055D1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1AA11100">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信用等级B</w:t>
            </w:r>
          </w:p>
        </w:tc>
      </w:tr>
      <w:tr w14:paraId="60016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CA427D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5A96388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1A316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90AA0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321B65A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14BA4C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397AAA65">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信用等级C</w:t>
            </w:r>
          </w:p>
        </w:tc>
      </w:tr>
      <w:tr w14:paraId="0A97B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2DDE8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02678C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C430A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D9691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0CDCF5E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52B58CC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533DD8E1">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信用等级</w:t>
            </w:r>
            <w:r>
              <w:rPr>
                <w:rFonts w:hint="eastAsia" w:ascii="宋体" w:hAnsi="宋体" w:eastAsia="宋体" w:cs="宋体"/>
                <w:color w:val="auto"/>
                <w:sz w:val="21"/>
                <w:szCs w:val="21"/>
                <w:highlight w:val="none"/>
                <w:lang w:val="en-US" w:eastAsia="zh-CN"/>
              </w:rPr>
              <w:t>D</w:t>
            </w:r>
          </w:p>
        </w:tc>
      </w:tr>
      <w:tr w14:paraId="21BCA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403A9C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3ACA1E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0A42BB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112" w:type="dxa"/>
            <w:gridSpan w:val="4"/>
            <w:shd w:val="clear" w:color="auto" w:fill="auto"/>
            <w:vAlign w:val="center"/>
          </w:tcPr>
          <w:p w14:paraId="0787D56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w:t>
            </w:r>
            <w:r>
              <w:rPr>
                <w:rFonts w:hint="eastAsia" w:ascii="宋体" w:hAnsi="宋体" w:eastAsia="宋体" w:cs="宋体"/>
                <w:color w:val="auto"/>
                <w:kern w:val="0"/>
                <w:sz w:val="21"/>
                <w:szCs w:val="21"/>
                <w:highlight w:val="none"/>
              </w:rPr>
              <w:t>信用评价等级</w:t>
            </w:r>
            <w:r>
              <w:rPr>
                <w:rFonts w:hint="eastAsia" w:ascii="宋体" w:hAnsi="宋体" w:eastAsia="宋体" w:cs="宋体"/>
                <w:color w:val="auto"/>
                <w:sz w:val="21"/>
                <w:szCs w:val="21"/>
                <w:highlight w:val="none"/>
              </w:rPr>
              <w:t>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1B793D7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（1）吉林省交通运输厅发布的“吉林省202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年度公路建设市场省级信用评价结果的通告</w:t>
            </w:r>
            <w:r>
              <w:rPr>
                <w:rFonts w:hint="eastAsia" w:ascii="宋体" w:hAnsi="宋体" w:eastAsia="宋体" w:cs="宋体"/>
                <w:color w:val="auto"/>
                <w:kern w:val="0"/>
                <w:sz w:val="21"/>
                <w:szCs w:val="21"/>
                <w:highlight w:val="none"/>
              </w:rPr>
              <w:t>”中投标人的信用等级；</w:t>
            </w:r>
          </w:p>
          <w:p w14:paraId="0F9EFB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度“监理企业”</w:t>
            </w:r>
            <w:r>
              <w:rPr>
                <w:rFonts w:hint="eastAsia" w:ascii="宋体" w:hAnsi="宋体" w:eastAsia="宋体" w:cs="宋体"/>
                <w:color w:val="auto"/>
                <w:sz w:val="21"/>
                <w:szCs w:val="21"/>
                <w:highlight w:val="none"/>
              </w:rPr>
              <w:t>信用等级；</w:t>
            </w:r>
          </w:p>
          <w:p w14:paraId="2817A7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r>
              <w:rPr>
                <w:rFonts w:hint="eastAsia" w:ascii="宋体" w:hAnsi="宋体" w:eastAsia="宋体" w:cs="宋体"/>
                <w:color w:val="auto"/>
                <w:sz w:val="21"/>
                <w:szCs w:val="21"/>
                <w:highlight w:val="none"/>
                <w:lang w:eastAsia="zh-CN"/>
              </w:rPr>
              <w:t>；</w:t>
            </w:r>
          </w:p>
          <w:p w14:paraId="0534306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）以联合体形式参与投标的，其信用等级按照联合体成员中承担监理工作的最低信用等级方认定</w:t>
            </w:r>
            <w:r>
              <w:rPr>
                <w:rFonts w:hint="eastAsia" w:ascii="宋体" w:hAnsi="宋体" w:eastAsia="宋体" w:cs="宋体"/>
                <w:color w:val="auto"/>
                <w:sz w:val="21"/>
                <w:szCs w:val="21"/>
                <w:highlight w:val="none"/>
                <w:lang w:val="en-US" w:eastAsia="zh-CN"/>
              </w:rPr>
              <w:t>。</w:t>
            </w:r>
          </w:p>
        </w:tc>
      </w:tr>
      <w:tr w14:paraId="040BE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606" w:type="dxa"/>
            <w:gridSpan w:val="7"/>
            <w:shd w:val="clear" w:color="auto" w:fill="auto"/>
            <w:vAlign w:val="center"/>
          </w:tcPr>
          <w:p w14:paraId="7B066D2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1A0DBAAF">
      <w:pPr>
        <w:keepLines w:val="0"/>
        <w:kinsoku/>
        <w:wordWrap/>
        <w:overflowPunct/>
        <w:topLinePunct w:val="0"/>
        <w:bidi w:val="0"/>
        <w:spacing w:line="360" w:lineRule="exact"/>
        <w:jc w:val="both"/>
        <w:textAlignment w:val="auto"/>
        <w:rPr>
          <w:rFonts w:hint="eastAsia" w:ascii="宋体" w:hAnsi="宋体" w:eastAsia="宋体" w:cs="宋体"/>
          <w:b/>
          <w:bCs/>
          <w:sz w:val="21"/>
          <w:szCs w:val="21"/>
          <w:highlight w:val="none"/>
          <w:lang w:val="en-US" w:eastAsia="zh-CN"/>
        </w:rPr>
      </w:pPr>
    </w:p>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6DDBE6F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招 标 人：长白山保护开发区公路服务中心</w:t>
      </w:r>
    </w:p>
    <w:p w14:paraId="1FE65CF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地    址：吉林省延边州安图县二道镇白山大街康乐胡同血站综合楼</w:t>
      </w:r>
    </w:p>
    <w:p w14:paraId="7EA650E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联 系 人：</w:t>
      </w:r>
      <w:r>
        <w:rPr>
          <w:rFonts w:hint="eastAsia" w:ascii="宋体" w:hAnsi="宋体" w:eastAsia="宋体" w:cs="宋体"/>
          <w:color w:val="auto"/>
          <w:sz w:val="21"/>
          <w:szCs w:val="21"/>
          <w:highlight w:val="none"/>
          <w:lang w:val="en-US" w:bidi="zh-CN"/>
        </w:rPr>
        <w:t>李大明</w:t>
      </w:r>
    </w:p>
    <w:p w14:paraId="22A672F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电    话：0433-6179007</w:t>
      </w:r>
    </w:p>
    <w:p w14:paraId="39901E30">
      <w:pPr>
        <w:keepLines w:val="0"/>
        <w:kinsoku/>
        <w:wordWrap/>
        <w:overflowPunct/>
        <w:topLinePunct w:val="0"/>
        <w:bidi w:val="0"/>
        <w:spacing w:line="360" w:lineRule="exact"/>
        <w:ind w:firstLine="420" w:firstLineChars="200"/>
        <w:textAlignment w:val="auto"/>
        <w:rPr>
          <w:rFonts w:hint="eastAsia" w:ascii="宋体" w:hAnsi="宋体" w:eastAsia="宋体" w:cs="宋体"/>
          <w:i w:val="0"/>
          <w:iCs w:val="0"/>
          <w:caps w:val="0"/>
          <w:color w:val="000000"/>
          <w:spacing w:val="0"/>
          <w:sz w:val="21"/>
          <w:szCs w:val="21"/>
          <w:shd w:val="clear" w:fill="FFFFFF"/>
          <w:lang w:val="en-US" w:eastAsia="zh-CN"/>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 w:name="David">
    <w:panose1 w:val="020E0502060401010101"/>
    <w:charset w:val="B1"/>
    <w:family w:val="swiss"/>
    <w:pitch w:val="default"/>
    <w:sig w:usb0="00000801" w:usb1="00000000" w:usb2="00000000" w:usb3="00000000" w:csb0="00000020" w:csb1="002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CADF61D">
      <w:pPr>
        <w:pStyle w:val="9"/>
        <w:rPr>
          <w:rFonts w:ascii="楷体" w:hAnsi="楷体" w:eastAsia="楷体"/>
        </w:rPr>
      </w:pPr>
      <w:r>
        <w:rPr>
          <w:rStyle w:val="13"/>
          <w:rFonts w:ascii="楷体" w:hAnsi="楷体" w:eastAsia="楷体"/>
        </w:rPr>
        <w:footnoteRef/>
      </w:r>
      <w:r>
        <w:rPr>
          <w:rFonts w:ascii="楷体" w:hAnsi="楷体" w:eastAsia="楷体"/>
        </w:rPr>
        <w:t xml:space="preserve"> </w:t>
      </w:r>
      <w:r>
        <w:rPr>
          <w:rFonts w:hint="eastAsia" w:ascii="楷体" w:hAnsi="楷体" w:eastAsia="楷体"/>
        </w:rPr>
        <w:t>本项规定仅适用于根据《关于发布公路工程从业企业资质名录的通知》（厅公路字[2011]114号）要求，招标人应通过名录对投标人资质条件进行审核的公路施工监理企业。</w:t>
      </w:r>
    </w:p>
  </w:footnote>
  <w:footnote w:id="1">
    <w:p w14:paraId="62BDC2B9">
      <w:pPr>
        <w:pStyle w:val="9"/>
      </w:pPr>
      <w:r>
        <w:rPr>
          <w:rStyle w:val="13"/>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BatangChe" w:hAnsi="BatangChe"/>
          <w:spacing w:val="-6"/>
        </w:rPr>
        <w:t>。</w:t>
      </w:r>
      <w:r>
        <w:rPr>
          <w:rFonts w:hint="eastAsia" w:ascii="宋体" w:hAnsi="宋体"/>
          <w:lang w:eastAsia="zh-CN"/>
        </w:rPr>
        <w:t>）</w:t>
      </w:r>
      <w:r>
        <w:rPr>
          <w:rFonts w:hint="eastAsia" w:ascii="宋体" w:hAnsi="宋体"/>
          <w:color w:val="000000"/>
          <w:lang w:val="zh-CN"/>
        </w:rPr>
        <w:t>如果投标人属事业法人单位，则应提供拟委任的总监理工程师是投标人单位职工的有效书面证明材料。</w:t>
      </w:r>
    </w:p>
  </w:footnote>
  <w:footnote w:id="2">
    <w:p w14:paraId="05307DC6">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4C0EE3C1">
      <w:pPr>
        <w:pStyle w:val="9"/>
      </w:pPr>
      <w:r>
        <w:rPr>
          <w:rStyle w:val="13"/>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4">
    <w:p w14:paraId="78400756">
      <w:pPr>
        <w:pStyle w:val="9"/>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0F7563EB"/>
    <w:rsid w:val="17922A5F"/>
    <w:rsid w:val="19636ADF"/>
    <w:rsid w:val="1EE36574"/>
    <w:rsid w:val="25817750"/>
    <w:rsid w:val="41A4097E"/>
    <w:rsid w:val="470B3C35"/>
    <w:rsid w:val="51317CC1"/>
    <w:rsid w:val="5D4C2DFB"/>
    <w:rsid w:val="6623322B"/>
    <w:rsid w:val="7CED6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 w:type="character" w:customStyle="1" w:styleId="33">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4">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5">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3656</Words>
  <Characters>3863</Characters>
  <Lines>37</Lines>
  <Paragraphs>10</Paragraphs>
  <TotalTime>1</TotalTime>
  <ScaleCrop>false</ScaleCrop>
  <LinksUpToDate>false</LinksUpToDate>
  <CharactersWithSpaces>3883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2026-06-08T07:51:58Z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